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C81FBD" w14:textId="77777777" w:rsidR="00246533" w:rsidRDefault="00246533" w:rsidP="008D7575">
      <w:pPr>
        <w:pStyle w:val="BodyText"/>
        <w:kinsoku w:val="0"/>
        <w:overflowPunct w:val="0"/>
        <w:rPr>
          <w:rFonts w:ascii="Times New Roman" w:hAnsi="Times New Roman" w:cs="Times New Roman"/>
          <w:sz w:val="20"/>
          <w:szCs w:val="20"/>
        </w:rPr>
      </w:pPr>
    </w:p>
    <w:p w14:paraId="3D768F0B" w14:textId="77777777" w:rsidR="00246533" w:rsidRDefault="00246533" w:rsidP="008D7575">
      <w:pPr>
        <w:pStyle w:val="BodyText"/>
        <w:kinsoku w:val="0"/>
        <w:overflowPunct w:val="0"/>
        <w:spacing w:before="1"/>
        <w:rPr>
          <w:b/>
          <w:bCs/>
          <w:sz w:val="18"/>
          <w:szCs w:val="18"/>
        </w:rPr>
      </w:pPr>
    </w:p>
    <w:tbl>
      <w:tblPr>
        <w:tblW w:w="0" w:type="auto"/>
        <w:tblInd w:w="122" w:type="dxa"/>
        <w:tblLayout w:type="fixed"/>
        <w:tblCellMar>
          <w:left w:w="0" w:type="dxa"/>
          <w:right w:w="0" w:type="dxa"/>
        </w:tblCellMar>
        <w:tblLook w:val="0000" w:firstRow="0" w:lastRow="0" w:firstColumn="0" w:lastColumn="0" w:noHBand="0" w:noVBand="0"/>
      </w:tblPr>
      <w:tblGrid>
        <w:gridCol w:w="1810"/>
        <w:gridCol w:w="6839"/>
      </w:tblGrid>
      <w:tr w:rsidR="00246533" w:rsidRPr="00F10BD1" w14:paraId="63994E77" w14:textId="77777777" w:rsidTr="00ED0A30">
        <w:trPr>
          <w:trHeight w:hRule="exact" w:val="677"/>
        </w:trPr>
        <w:tc>
          <w:tcPr>
            <w:tcW w:w="1810" w:type="dxa"/>
            <w:tcBorders>
              <w:top w:val="single" w:sz="4" w:space="0" w:color="000000"/>
              <w:left w:val="single" w:sz="4" w:space="0" w:color="000000"/>
              <w:bottom w:val="single" w:sz="4" w:space="0" w:color="000000"/>
              <w:right w:val="single" w:sz="4" w:space="0" w:color="000000"/>
            </w:tcBorders>
            <w:shd w:val="clear" w:color="auto" w:fill="0069AA"/>
          </w:tcPr>
          <w:p w14:paraId="085A7CBB" w14:textId="77777777" w:rsidR="00246533" w:rsidRPr="00F10BD1" w:rsidRDefault="00246533" w:rsidP="008D7575">
            <w:pPr>
              <w:pStyle w:val="TableParagraph"/>
              <w:kinsoku w:val="0"/>
              <w:overflowPunct w:val="0"/>
              <w:spacing w:before="59"/>
              <w:ind w:left="103"/>
              <w:rPr>
                <w:rFonts w:ascii="Times New Roman" w:hAnsi="Times New Roman" w:cs="Times New Roman"/>
              </w:rPr>
            </w:pPr>
            <w:r w:rsidRPr="00F10BD1">
              <w:rPr>
                <w:b/>
                <w:bCs/>
                <w:color w:val="FFFFFF"/>
                <w:sz w:val="20"/>
                <w:szCs w:val="20"/>
              </w:rPr>
              <w:t>Document ID:</w:t>
            </w:r>
          </w:p>
        </w:tc>
        <w:tc>
          <w:tcPr>
            <w:tcW w:w="6839" w:type="dxa"/>
            <w:tcBorders>
              <w:top w:val="single" w:sz="4" w:space="0" w:color="000000"/>
              <w:left w:val="single" w:sz="4" w:space="0" w:color="000000"/>
              <w:bottom w:val="single" w:sz="4" w:space="0" w:color="000000"/>
              <w:right w:val="single" w:sz="4" w:space="0" w:color="000000"/>
            </w:tcBorders>
          </w:tcPr>
          <w:p w14:paraId="126FBC59" w14:textId="77777777" w:rsidR="00246533" w:rsidRPr="00F10BD1" w:rsidRDefault="00246533" w:rsidP="008D7575">
            <w:pPr>
              <w:pStyle w:val="TableParagraph"/>
              <w:kinsoku w:val="0"/>
              <w:overflowPunct w:val="0"/>
              <w:spacing w:before="59"/>
              <w:ind w:left="103"/>
              <w:rPr>
                <w:rFonts w:ascii="Times New Roman" w:hAnsi="Times New Roman" w:cs="Times New Roman"/>
              </w:rPr>
            </w:pPr>
            <w:r w:rsidRPr="00F10BD1">
              <w:rPr>
                <w:sz w:val="20"/>
                <w:szCs w:val="20"/>
              </w:rPr>
              <w:t>SOP-1</w:t>
            </w:r>
            <w:r w:rsidR="00ED0A30" w:rsidRPr="00F10BD1">
              <w:rPr>
                <w:sz w:val="20"/>
                <w:szCs w:val="20"/>
              </w:rPr>
              <w:t>.00</w:t>
            </w:r>
          </w:p>
        </w:tc>
      </w:tr>
      <w:tr w:rsidR="00246533" w:rsidRPr="00F10BD1" w14:paraId="3D9BECC6" w14:textId="77777777">
        <w:trPr>
          <w:trHeight w:hRule="exact" w:val="680"/>
        </w:trPr>
        <w:tc>
          <w:tcPr>
            <w:tcW w:w="1810" w:type="dxa"/>
            <w:tcBorders>
              <w:top w:val="single" w:sz="4" w:space="0" w:color="000000"/>
              <w:left w:val="single" w:sz="4" w:space="0" w:color="000000"/>
              <w:bottom w:val="single" w:sz="4" w:space="0" w:color="000000"/>
              <w:right w:val="single" w:sz="4" w:space="0" w:color="000000"/>
            </w:tcBorders>
            <w:shd w:val="clear" w:color="auto" w:fill="0069AA"/>
          </w:tcPr>
          <w:p w14:paraId="0B64048C" w14:textId="77777777" w:rsidR="00246533" w:rsidRPr="00F10BD1" w:rsidRDefault="00246533" w:rsidP="008D7575">
            <w:pPr>
              <w:pStyle w:val="TableParagraph"/>
              <w:kinsoku w:val="0"/>
              <w:overflowPunct w:val="0"/>
              <w:spacing w:before="59"/>
              <w:ind w:left="103"/>
              <w:rPr>
                <w:rFonts w:ascii="Times New Roman" w:hAnsi="Times New Roman" w:cs="Times New Roman"/>
              </w:rPr>
            </w:pPr>
            <w:r w:rsidRPr="00F10BD1">
              <w:rPr>
                <w:b/>
                <w:bCs/>
                <w:color w:val="FFFFFF"/>
                <w:sz w:val="20"/>
                <w:szCs w:val="20"/>
              </w:rPr>
              <w:t>Version No:</w:t>
            </w:r>
          </w:p>
        </w:tc>
        <w:tc>
          <w:tcPr>
            <w:tcW w:w="6839" w:type="dxa"/>
            <w:tcBorders>
              <w:top w:val="single" w:sz="4" w:space="0" w:color="000000"/>
              <w:left w:val="single" w:sz="4" w:space="0" w:color="000000"/>
              <w:bottom w:val="single" w:sz="4" w:space="0" w:color="000000"/>
              <w:right w:val="single" w:sz="4" w:space="0" w:color="000000"/>
            </w:tcBorders>
          </w:tcPr>
          <w:p w14:paraId="170F361E" w14:textId="77777777" w:rsidR="00246533" w:rsidRPr="00F10BD1" w:rsidRDefault="00D84D10" w:rsidP="008D7575">
            <w:pPr>
              <w:pStyle w:val="TableParagraph"/>
              <w:kinsoku w:val="0"/>
              <w:overflowPunct w:val="0"/>
              <w:spacing w:before="59"/>
              <w:ind w:left="103"/>
              <w:rPr>
                <w:rFonts w:ascii="Times New Roman" w:hAnsi="Times New Roman" w:cs="Times New Roman"/>
              </w:rPr>
            </w:pPr>
            <w:r w:rsidRPr="00F10BD1">
              <w:rPr>
                <w:sz w:val="20"/>
                <w:szCs w:val="20"/>
              </w:rPr>
              <w:t>1.0</w:t>
            </w:r>
          </w:p>
        </w:tc>
      </w:tr>
      <w:tr w:rsidR="00246533" w:rsidRPr="00F10BD1" w14:paraId="661E0A52" w14:textId="77777777">
        <w:trPr>
          <w:trHeight w:hRule="exact" w:val="677"/>
        </w:trPr>
        <w:tc>
          <w:tcPr>
            <w:tcW w:w="1810" w:type="dxa"/>
            <w:tcBorders>
              <w:top w:val="single" w:sz="4" w:space="0" w:color="000000"/>
              <w:left w:val="single" w:sz="4" w:space="0" w:color="000000"/>
              <w:bottom w:val="single" w:sz="4" w:space="0" w:color="000000"/>
              <w:right w:val="single" w:sz="4" w:space="0" w:color="000000"/>
            </w:tcBorders>
            <w:shd w:val="clear" w:color="auto" w:fill="0069AA"/>
          </w:tcPr>
          <w:p w14:paraId="21D73389" w14:textId="77777777" w:rsidR="00246533" w:rsidRPr="00F10BD1" w:rsidRDefault="00D84D10" w:rsidP="008D7575">
            <w:pPr>
              <w:pStyle w:val="TableParagraph"/>
              <w:kinsoku w:val="0"/>
              <w:overflowPunct w:val="0"/>
              <w:spacing w:before="59"/>
              <w:ind w:left="103"/>
              <w:rPr>
                <w:rFonts w:ascii="Times New Roman" w:hAnsi="Times New Roman" w:cs="Times New Roman"/>
              </w:rPr>
            </w:pPr>
            <w:r w:rsidRPr="00F10BD1">
              <w:rPr>
                <w:b/>
                <w:bCs/>
                <w:color w:val="FFFFFF"/>
                <w:sz w:val="20"/>
                <w:szCs w:val="20"/>
              </w:rPr>
              <w:t>Date Authoriz</w:t>
            </w:r>
            <w:r w:rsidR="00246533" w:rsidRPr="00F10BD1">
              <w:rPr>
                <w:b/>
                <w:bCs/>
                <w:color w:val="FFFFFF"/>
                <w:sz w:val="20"/>
                <w:szCs w:val="20"/>
              </w:rPr>
              <w:t>ed:</w:t>
            </w:r>
          </w:p>
        </w:tc>
        <w:tc>
          <w:tcPr>
            <w:tcW w:w="6839" w:type="dxa"/>
            <w:tcBorders>
              <w:top w:val="single" w:sz="4" w:space="0" w:color="000000"/>
              <w:left w:val="single" w:sz="4" w:space="0" w:color="000000"/>
              <w:bottom w:val="single" w:sz="4" w:space="0" w:color="000000"/>
              <w:right w:val="single" w:sz="4" w:space="0" w:color="000000"/>
            </w:tcBorders>
          </w:tcPr>
          <w:p w14:paraId="57E0CCCF" w14:textId="77777777" w:rsidR="00246533" w:rsidRPr="00F10BD1" w:rsidRDefault="00246533" w:rsidP="008D7575">
            <w:pPr>
              <w:pStyle w:val="TableParagraph"/>
              <w:kinsoku w:val="0"/>
              <w:overflowPunct w:val="0"/>
              <w:spacing w:before="59"/>
              <w:ind w:left="103"/>
              <w:rPr>
                <w:rFonts w:ascii="Times New Roman" w:hAnsi="Times New Roman" w:cs="Times New Roman"/>
              </w:rPr>
            </w:pPr>
            <w:r w:rsidRPr="00F10BD1">
              <w:rPr>
                <w:sz w:val="20"/>
                <w:szCs w:val="20"/>
              </w:rPr>
              <w:t>Date of Approval</w:t>
            </w:r>
          </w:p>
        </w:tc>
      </w:tr>
      <w:tr w:rsidR="00246533" w:rsidRPr="00F10BD1" w14:paraId="42F0DC29" w14:textId="77777777">
        <w:trPr>
          <w:trHeight w:hRule="exact" w:val="679"/>
        </w:trPr>
        <w:tc>
          <w:tcPr>
            <w:tcW w:w="1810" w:type="dxa"/>
            <w:tcBorders>
              <w:top w:val="single" w:sz="4" w:space="0" w:color="000000"/>
              <w:left w:val="single" w:sz="4" w:space="0" w:color="000000"/>
              <w:bottom w:val="single" w:sz="4" w:space="0" w:color="000000"/>
              <w:right w:val="single" w:sz="4" w:space="0" w:color="000000"/>
            </w:tcBorders>
            <w:shd w:val="clear" w:color="auto" w:fill="0069AA"/>
          </w:tcPr>
          <w:p w14:paraId="297EE5ED" w14:textId="77777777" w:rsidR="00246533" w:rsidRPr="00F10BD1" w:rsidRDefault="00246533" w:rsidP="008D7575">
            <w:pPr>
              <w:pStyle w:val="TableParagraph"/>
              <w:kinsoku w:val="0"/>
              <w:overflowPunct w:val="0"/>
              <w:spacing w:before="61"/>
              <w:ind w:left="103"/>
              <w:rPr>
                <w:rFonts w:ascii="Times New Roman" w:hAnsi="Times New Roman" w:cs="Times New Roman"/>
              </w:rPr>
            </w:pPr>
            <w:r w:rsidRPr="00F10BD1">
              <w:rPr>
                <w:b/>
                <w:bCs/>
                <w:color w:val="FFFFFF"/>
                <w:sz w:val="20"/>
                <w:szCs w:val="20"/>
              </w:rPr>
              <w:t>Effective Date:</w:t>
            </w:r>
          </w:p>
        </w:tc>
        <w:tc>
          <w:tcPr>
            <w:tcW w:w="6839" w:type="dxa"/>
            <w:tcBorders>
              <w:top w:val="single" w:sz="4" w:space="0" w:color="000000"/>
              <w:left w:val="single" w:sz="4" w:space="0" w:color="000000"/>
              <w:bottom w:val="single" w:sz="4" w:space="0" w:color="000000"/>
              <w:right w:val="single" w:sz="4" w:space="0" w:color="000000"/>
            </w:tcBorders>
          </w:tcPr>
          <w:p w14:paraId="04476B6D" w14:textId="279A7DEB" w:rsidR="00246533" w:rsidRPr="00F10BD1" w:rsidRDefault="00D84D10" w:rsidP="008D7575">
            <w:pPr>
              <w:pStyle w:val="TableParagraph"/>
              <w:kinsoku w:val="0"/>
              <w:overflowPunct w:val="0"/>
              <w:spacing w:before="61"/>
              <w:ind w:left="103"/>
              <w:rPr>
                <w:rFonts w:ascii="Times New Roman" w:hAnsi="Times New Roman" w:cs="Times New Roman"/>
              </w:rPr>
            </w:pPr>
            <w:r w:rsidRPr="00F10BD1">
              <w:rPr>
                <w:sz w:val="20"/>
                <w:szCs w:val="20"/>
              </w:rPr>
              <w:t>01</w:t>
            </w:r>
            <w:r w:rsidR="00246533" w:rsidRPr="00F10BD1">
              <w:rPr>
                <w:sz w:val="20"/>
                <w:szCs w:val="20"/>
              </w:rPr>
              <w:t xml:space="preserve"> </w:t>
            </w:r>
            <w:r w:rsidR="00BA71A1">
              <w:rPr>
                <w:sz w:val="20"/>
                <w:szCs w:val="20"/>
              </w:rPr>
              <w:t>November</w:t>
            </w:r>
            <w:r w:rsidRPr="00F10BD1">
              <w:rPr>
                <w:sz w:val="20"/>
                <w:szCs w:val="20"/>
              </w:rPr>
              <w:t xml:space="preserve"> 2021</w:t>
            </w:r>
          </w:p>
        </w:tc>
      </w:tr>
      <w:tr w:rsidR="00246533" w:rsidRPr="00F10BD1" w14:paraId="7973CBBA" w14:textId="77777777">
        <w:trPr>
          <w:trHeight w:hRule="exact" w:val="679"/>
        </w:trPr>
        <w:tc>
          <w:tcPr>
            <w:tcW w:w="1810" w:type="dxa"/>
            <w:tcBorders>
              <w:top w:val="single" w:sz="4" w:space="0" w:color="000000"/>
              <w:left w:val="single" w:sz="4" w:space="0" w:color="000000"/>
              <w:bottom w:val="single" w:sz="4" w:space="0" w:color="000000"/>
              <w:right w:val="single" w:sz="4" w:space="0" w:color="000000"/>
            </w:tcBorders>
            <w:shd w:val="clear" w:color="auto" w:fill="0069AA"/>
          </w:tcPr>
          <w:p w14:paraId="2D3AE723" w14:textId="77777777" w:rsidR="00246533" w:rsidRPr="00F10BD1" w:rsidRDefault="00246533" w:rsidP="008D7575">
            <w:pPr>
              <w:pStyle w:val="TableParagraph"/>
              <w:kinsoku w:val="0"/>
              <w:overflowPunct w:val="0"/>
              <w:spacing w:before="59"/>
              <w:ind w:left="103"/>
              <w:rPr>
                <w:rFonts w:ascii="Times New Roman" w:hAnsi="Times New Roman" w:cs="Times New Roman"/>
              </w:rPr>
            </w:pPr>
            <w:r w:rsidRPr="00F10BD1">
              <w:rPr>
                <w:b/>
                <w:bCs/>
                <w:color w:val="FFFFFF"/>
                <w:sz w:val="20"/>
                <w:szCs w:val="20"/>
              </w:rPr>
              <w:t>Review Date:</w:t>
            </w:r>
          </w:p>
        </w:tc>
        <w:tc>
          <w:tcPr>
            <w:tcW w:w="6839" w:type="dxa"/>
            <w:tcBorders>
              <w:top w:val="single" w:sz="4" w:space="0" w:color="000000"/>
              <w:left w:val="single" w:sz="4" w:space="0" w:color="000000"/>
              <w:bottom w:val="single" w:sz="4" w:space="0" w:color="000000"/>
              <w:right w:val="single" w:sz="4" w:space="0" w:color="000000"/>
            </w:tcBorders>
          </w:tcPr>
          <w:p w14:paraId="47C2062D" w14:textId="57DEE1FB" w:rsidR="00246533" w:rsidRPr="00F10BD1" w:rsidRDefault="00D84D10" w:rsidP="008D7575">
            <w:pPr>
              <w:pStyle w:val="TableParagraph"/>
              <w:kinsoku w:val="0"/>
              <w:overflowPunct w:val="0"/>
              <w:spacing w:before="59"/>
              <w:ind w:left="103"/>
              <w:rPr>
                <w:rFonts w:ascii="Times New Roman" w:hAnsi="Times New Roman" w:cs="Times New Roman"/>
              </w:rPr>
            </w:pPr>
            <w:r w:rsidRPr="00F10BD1">
              <w:rPr>
                <w:sz w:val="20"/>
                <w:szCs w:val="20"/>
              </w:rPr>
              <w:t>01</w:t>
            </w:r>
            <w:r w:rsidR="00246533" w:rsidRPr="00F10BD1">
              <w:rPr>
                <w:sz w:val="20"/>
                <w:szCs w:val="20"/>
              </w:rPr>
              <w:t xml:space="preserve"> </w:t>
            </w:r>
            <w:r w:rsidR="00BA71A1">
              <w:rPr>
                <w:sz w:val="20"/>
                <w:szCs w:val="20"/>
              </w:rPr>
              <w:t>November</w:t>
            </w:r>
            <w:r w:rsidR="00246533" w:rsidRPr="00F10BD1">
              <w:rPr>
                <w:sz w:val="20"/>
                <w:szCs w:val="20"/>
              </w:rPr>
              <w:t xml:space="preserve"> 2022</w:t>
            </w:r>
          </w:p>
        </w:tc>
      </w:tr>
      <w:tr w:rsidR="00246533" w:rsidRPr="00F10BD1" w14:paraId="35E4C98B" w14:textId="77777777">
        <w:trPr>
          <w:trHeight w:hRule="exact" w:val="617"/>
        </w:trPr>
        <w:tc>
          <w:tcPr>
            <w:tcW w:w="1810" w:type="dxa"/>
            <w:tcBorders>
              <w:top w:val="single" w:sz="4" w:space="0" w:color="000000"/>
              <w:left w:val="single" w:sz="4" w:space="0" w:color="000000"/>
              <w:bottom w:val="single" w:sz="4" w:space="0" w:color="000000"/>
              <w:right w:val="single" w:sz="4" w:space="0" w:color="000000"/>
            </w:tcBorders>
            <w:shd w:val="clear" w:color="auto" w:fill="0069AA"/>
          </w:tcPr>
          <w:p w14:paraId="6A5BA789" w14:textId="77777777" w:rsidR="00246533" w:rsidRPr="00F10BD1" w:rsidRDefault="00246533" w:rsidP="008D7575">
            <w:pPr>
              <w:pStyle w:val="TableParagraph"/>
              <w:kinsoku w:val="0"/>
              <w:overflowPunct w:val="0"/>
              <w:spacing w:before="59"/>
              <w:ind w:left="103" w:right="388"/>
              <w:rPr>
                <w:rFonts w:ascii="Times New Roman" w:hAnsi="Times New Roman" w:cs="Times New Roman"/>
              </w:rPr>
            </w:pPr>
            <w:r w:rsidRPr="00F10BD1">
              <w:rPr>
                <w:b/>
                <w:bCs/>
                <w:color w:val="FFFFFF"/>
                <w:sz w:val="20"/>
                <w:szCs w:val="20"/>
              </w:rPr>
              <w:t xml:space="preserve">Applicable </w:t>
            </w:r>
            <w:r w:rsidR="00D84D10" w:rsidRPr="00F10BD1">
              <w:rPr>
                <w:b/>
                <w:bCs/>
                <w:color w:val="FFFFFF"/>
                <w:sz w:val="20"/>
                <w:szCs w:val="20"/>
              </w:rPr>
              <w:t>Emory</w:t>
            </w:r>
            <w:r w:rsidRPr="00F10BD1">
              <w:rPr>
                <w:b/>
                <w:bCs/>
                <w:color w:val="FFFFFF"/>
                <w:sz w:val="20"/>
                <w:szCs w:val="20"/>
              </w:rPr>
              <w:t xml:space="preserve"> Site/s:</w:t>
            </w:r>
          </w:p>
        </w:tc>
        <w:tc>
          <w:tcPr>
            <w:tcW w:w="6839" w:type="dxa"/>
            <w:tcBorders>
              <w:top w:val="single" w:sz="4" w:space="0" w:color="000000"/>
              <w:left w:val="single" w:sz="4" w:space="0" w:color="000000"/>
              <w:bottom w:val="single" w:sz="4" w:space="0" w:color="000000"/>
              <w:right w:val="single" w:sz="4" w:space="0" w:color="000000"/>
            </w:tcBorders>
          </w:tcPr>
          <w:p w14:paraId="59373478" w14:textId="77777777" w:rsidR="00246533" w:rsidRPr="00F10BD1" w:rsidRDefault="00246533" w:rsidP="008D7575">
            <w:pPr>
              <w:pStyle w:val="TableParagraph"/>
              <w:kinsoku w:val="0"/>
              <w:overflowPunct w:val="0"/>
              <w:spacing w:before="59"/>
              <w:ind w:left="103"/>
              <w:rPr>
                <w:rFonts w:ascii="Times New Roman" w:hAnsi="Times New Roman" w:cs="Times New Roman"/>
              </w:rPr>
            </w:pPr>
            <w:r w:rsidRPr="00F10BD1">
              <w:rPr>
                <w:sz w:val="20"/>
                <w:szCs w:val="20"/>
              </w:rPr>
              <w:t>All</w:t>
            </w:r>
          </w:p>
        </w:tc>
      </w:tr>
    </w:tbl>
    <w:p w14:paraId="2514AD31" w14:textId="77777777" w:rsidR="00246533" w:rsidRDefault="00246533" w:rsidP="008D7575">
      <w:pPr>
        <w:pStyle w:val="BodyText"/>
        <w:kinsoku w:val="0"/>
        <w:overflowPunct w:val="0"/>
        <w:rPr>
          <w:b/>
          <w:bCs/>
          <w:sz w:val="20"/>
          <w:szCs w:val="20"/>
        </w:rPr>
      </w:pPr>
    </w:p>
    <w:p w14:paraId="25450685" w14:textId="77777777" w:rsidR="00246533" w:rsidRDefault="00246533" w:rsidP="008D7575">
      <w:pPr>
        <w:pStyle w:val="BodyText"/>
        <w:kinsoku w:val="0"/>
        <w:overflowPunct w:val="0"/>
        <w:spacing w:before="6"/>
        <w:rPr>
          <w:b/>
          <w:bCs/>
          <w:sz w:val="18"/>
          <w:szCs w:val="18"/>
        </w:rPr>
      </w:pPr>
    </w:p>
    <w:tbl>
      <w:tblPr>
        <w:tblW w:w="0" w:type="auto"/>
        <w:tblInd w:w="122" w:type="dxa"/>
        <w:tblLayout w:type="fixed"/>
        <w:tblCellMar>
          <w:left w:w="0" w:type="dxa"/>
          <w:right w:w="0" w:type="dxa"/>
        </w:tblCellMar>
        <w:tblLook w:val="0000" w:firstRow="0" w:lastRow="0" w:firstColumn="0" w:lastColumn="0" w:noHBand="0" w:noVBand="0"/>
      </w:tblPr>
      <w:tblGrid>
        <w:gridCol w:w="1762"/>
        <w:gridCol w:w="6887"/>
      </w:tblGrid>
      <w:tr w:rsidR="00246533" w:rsidRPr="00F10BD1" w14:paraId="6EEBB54B" w14:textId="77777777">
        <w:trPr>
          <w:trHeight w:hRule="exact" w:val="677"/>
        </w:trPr>
        <w:tc>
          <w:tcPr>
            <w:tcW w:w="1762" w:type="dxa"/>
            <w:tcBorders>
              <w:top w:val="single" w:sz="4" w:space="0" w:color="000000"/>
              <w:left w:val="single" w:sz="4" w:space="0" w:color="000000"/>
              <w:bottom w:val="single" w:sz="4" w:space="0" w:color="000000"/>
              <w:right w:val="single" w:sz="4" w:space="0" w:color="000000"/>
            </w:tcBorders>
            <w:shd w:val="clear" w:color="auto" w:fill="0069AA"/>
          </w:tcPr>
          <w:p w14:paraId="6417EE5C" w14:textId="77777777" w:rsidR="00246533" w:rsidRPr="00F10BD1" w:rsidRDefault="00246533" w:rsidP="008D7575">
            <w:pPr>
              <w:pStyle w:val="TableParagraph"/>
              <w:kinsoku w:val="0"/>
              <w:overflowPunct w:val="0"/>
              <w:spacing w:before="59"/>
              <w:ind w:left="103"/>
              <w:rPr>
                <w:rFonts w:ascii="Times New Roman" w:hAnsi="Times New Roman" w:cs="Times New Roman"/>
              </w:rPr>
            </w:pPr>
            <w:r w:rsidRPr="00F10BD1">
              <w:rPr>
                <w:b/>
                <w:bCs/>
                <w:color w:val="FFFFFF"/>
                <w:sz w:val="20"/>
                <w:szCs w:val="20"/>
              </w:rPr>
              <w:t>Author:</w:t>
            </w:r>
          </w:p>
        </w:tc>
        <w:tc>
          <w:tcPr>
            <w:tcW w:w="6887" w:type="dxa"/>
            <w:tcBorders>
              <w:top w:val="single" w:sz="4" w:space="0" w:color="000000"/>
              <w:left w:val="single" w:sz="4" w:space="0" w:color="000000"/>
              <w:bottom w:val="single" w:sz="4" w:space="0" w:color="000000"/>
              <w:right w:val="single" w:sz="4" w:space="0" w:color="000000"/>
            </w:tcBorders>
          </w:tcPr>
          <w:p w14:paraId="05203BA8" w14:textId="77777777" w:rsidR="00246533" w:rsidRPr="00F10BD1" w:rsidRDefault="00D84D10" w:rsidP="008D7575">
            <w:pPr>
              <w:pStyle w:val="TableParagraph"/>
              <w:kinsoku w:val="0"/>
              <w:overflowPunct w:val="0"/>
              <w:spacing w:before="59"/>
              <w:ind w:left="103"/>
              <w:rPr>
                <w:sz w:val="20"/>
                <w:szCs w:val="20"/>
              </w:rPr>
            </w:pPr>
            <w:r w:rsidRPr="00F10BD1">
              <w:rPr>
                <w:sz w:val="20"/>
                <w:szCs w:val="20"/>
              </w:rPr>
              <w:t>[Insert Name]</w:t>
            </w:r>
          </w:p>
          <w:p w14:paraId="409D55A7" w14:textId="77777777" w:rsidR="00246533" w:rsidRPr="00F10BD1" w:rsidRDefault="00ED0A30" w:rsidP="008D7575">
            <w:pPr>
              <w:pStyle w:val="TableParagraph"/>
              <w:kinsoku w:val="0"/>
              <w:overflowPunct w:val="0"/>
              <w:spacing w:before="60"/>
              <w:ind w:left="103"/>
              <w:rPr>
                <w:rFonts w:ascii="Times New Roman" w:hAnsi="Times New Roman" w:cs="Times New Roman"/>
              </w:rPr>
            </w:pPr>
            <w:r w:rsidRPr="00F10BD1">
              <w:rPr>
                <w:sz w:val="20"/>
                <w:szCs w:val="20"/>
              </w:rPr>
              <w:t>Depar</w:t>
            </w:r>
            <w:r w:rsidR="00D84D10" w:rsidRPr="00F10BD1">
              <w:rPr>
                <w:sz w:val="20"/>
                <w:szCs w:val="20"/>
              </w:rPr>
              <w:t>t</w:t>
            </w:r>
            <w:r w:rsidRPr="00F10BD1">
              <w:rPr>
                <w:sz w:val="20"/>
                <w:szCs w:val="20"/>
              </w:rPr>
              <w:t>m</w:t>
            </w:r>
            <w:r w:rsidR="00D84D10" w:rsidRPr="00F10BD1">
              <w:rPr>
                <w:sz w:val="20"/>
                <w:szCs w:val="20"/>
              </w:rPr>
              <w:t xml:space="preserve">ental </w:t>
            </w:r>
            <w:r w:rsidR="00246533" w:rsidRPr="00F10BD1">
              <w:rPr>
                <w:sz w:val="20"/>
                <w:szCs w:val="20"/>
              </w:rPr>
              <w:t xml:space="preserve">Research </w:t>
            </w:r>
            <w:r w:rsidR="00D84D10" w:rsidRPr="00F10BD1">
              <w:rPr>
                <w:sz w:val="20"/>
                <w:szCs w:val="20"/>
              </w:rPr>
              <w:t>Administration</w:t>
            </w:r>
          </w:p>
        </w:tc>
      </w:tr>
      <w:tr w:rsidR="00246533" w:rsidRPr="00F10BD1" w14:paraId="60C5E093" w14:textId="77777777">
        <w:trPr>
          <w:trHeight w:hRule="exact" w:val="679"/>
        </w:trPr>
        <w:tc>
          <w:tcPr>
            <w:tcW w:w="1762" w:type="dxa"/>
            <w:tcBorders>
              <w:top w:val="single" w:sz="4" w:space="0" w:color="000000"/>
              <w:left w:val="single" w:sz="4" w:space="0" w:color="000000"/>
              <w:bottom w:val="single" w:sz="4" w:space="0" w:color="000000"/>
              <w:right w:val="single" w:sz="4" w:space="0" w:color="000000"/>
            </w:tcBorders>
            <w:shd w:val="clear" w:color="auto" w:fill="0069AA"/>
          </w:tcPr>
          <w:p w14:paraId="6396DEFA" w14:textId="77777777" w:rsidR="00246533" w:rsidRPr="00F10BD1" w:rsidRDefault="00246533" w:rsidP="008D7575">
            <w:pPr>
              <w:pStyle w:val="TableParagraph"/>
              <w:kinsoku w:val="0"/>
              <w:overflowPunct w:val="0"/>
              <w:spacing w:before="59"/>
              <w:ind w:left="103"/>
              <w:rPr>
                <w:rFonts w:ascii="Times New Roman" w:hAnsi="Times New Roman" w:cs="Times New Roman"/>
              </w:rPr>
            </w:pPr>
            <w:r w:rsidRPr="00F10BD1">
              <w:rPr>
                <w:b/>
                <w:bCs/>
                <w:color w:val="FFFFFF"/>
                <w:sz w:val="20"/>
                <w:szCs w:val="20"/>
              </w:rPr>
              <w:t>Approved by:</w:t>
            </w:r>
          </w:p>
        </w:tc>
        <w:tc>
          <w:tcPr>
            <w:tcW w:w="6887" w:type="dxa"/>
            <w:tcBorders>
              <w:top w:val="single" w:sz="4" w:space="0" w:color="000000"/>
              <w:left w:val="single" w:sz="4" w:space="0" w:color="000000"/>
              <w:bottom w:val="single" w:sz="4" w:space="0" w:color="000000"/>
              <w:right w:val="single" w:sz="4" w:space="0" w:color="000000"/>
            </w:tcBorders>
          </w:tcPr>
          <w:p w14:paraId="2DF509D8" w14:textId="77777777" w:rsidR="00246533" w:rsidRPr="00F10BD1" w:rsidRDefault="00D84D10" w:rsidP="008D7575">
            <w:pPr>
              <w:pStyle w:val="TableParagraph"/>
              <w:kinsoku w:val="0"/>
              <w:overflowPunct w:val="0"/>
              <w:spacing w:before="59"/>
              <w:ind w:left="103"/>
              <w:rPr>
                <w:sz w:val="20"/>
                <w:szCs w:val="20"/>
              </w:rPr>
            </w:pPr>
            <w:r w:rsidRPr="00F10BD1">
              <w:rPr>
                <w:sz w:val="20"/>
                <w:szCs w:val="20"/>
              </w:rPr>
              <w:t>[Insert Name]</w:t>
            </w:r>
          </w:p>
          <w:p w14:paraId="2C8761F6" w14:textId="77777777" w:rsidR="00246533" w:rsidRPr="00F10BD1" w:rsidRDefault="00D84D10" w:rsidP="008D7575">
            <w:pPr>
              <w:pStyle w:val="TableParagraph"/>
              <w:kinsoku w:val="0"/>
              <w:overflowPunct w:val="0"/>
              <w:spacing w:before="60"/>
              <w:ind w:left="103"/>
              <w:rPr>
                <w:rFonts w:ascii="Times New Roman" w:hAnsi="Times New Roman" w:cs="Times New Roman"/>
              </w:rPr>
            </w:pPr>
            <w:r w:rsidRPr="00F10BD1">
              <w:rPr>
                <w:sz w:val="20"/>
                <w:szCs w:val="20"/>
              </w:rPr>
              <w:t>Department Vice-Chairman, Res</w:t>
            </w:r>
            <w:r w:rsidR="00ED0A30" w:rsidRPr="00F10BD1">
              <w:rPr>
                <w:sz w:val="20"/>
                <w:szCs w:val="20"/>
              </w:rPr>
              <w:t>e</w:t>
            </w:r>
            <w:r w:rsidRPr="00F10BD1">
              <w:rPr>
                <w:sz w:val="20"/>
                <w:szCs w:val="20"/>
              </w:rPr>
              <w:t>arch</w:t>
            </w:r>
          </w:p>
        </w:tc>
      </w:tr>
      <w:tr w:rsidR="00246533" w:rsidRPr="00F10BD1" w14:paraId="44695383" w14:textId="77777777">
        <w:trPr>
          <w:trHeight w:hRule="exact" w:val="677"/>
        </w:trPr>
        <w:tc>
          <w:tcPr>
            <w:tcW w:w="1762" w:type="dxa"/>
            <w:tcBorders>
              <w:top w:val="single" w:sz="4" w:space="0" w:color="000000"/>
              <w:left w:val="single" w:sz="4" w:space="0" w:color="000000"/>
              <w:bottom w:val="single" w:sz="4" w:space="0" w:color="000000"/>
              <w:right w:val="single" w:sz="4" w:space="0" w:color="000000"/>
            </w:tcBorders>
            <w:shd w:val="clear" w:color="auto" w:fill="0069AA"/>
          </w:tcPr>
          <w:p w14:paraId="224548D0" w14:textId="77777777" w:rsidR="00246533" w:rsidRPr="00F10BD1" w:rsidRDefault="00246533" w:rsidP="008D7575">
            <w:pPr>
              <w:pStyle w:val="TableParagraph"/>
              <w:kinsoku w:val="0"/>
              <w:overflowPunct w:val="0"/>
              <w:spacing w:before="59"/>
              <w:ind w:left="103"/>
              <w:rPr>
                <w:rFonts w:ascii="Times New Roman" w:hAnsi="Times New Roman" w:cs="Times New Roman"/>
              </w:rPr>
            </w:pPr>
            <w:r w:rsidRPr="00F10BD1">
              <w:rPr>
                <w:b/>
                <w:bCs/>
                <w:color w:val="FFFFFF"/>
                <w:sz w:val="20"/>
                <w:szCs w:val="20"/>
              </w:rPr>
              <w:t>Signature:</w:t>
            </w:r>
          </w:p>
        </w:tc>
        <w:tc>
          <w:tcPr>
            <w:tcW w:w="6887" w:type="dxa"/>
            <w:tcBorders>
              <w:top w:val="single" w:sz="4" w:space="0" w:color="000000"/>
              <w:left w:val="single" w:sz="4" w:space="0" w:color="000000"/>
              <w:bottom w:val="single" w:sz="4" w:space="0" w:color="000000"/>
              <w:right w:val="single" w:sz="4" w:space="0" w:color="000000"/>
            </w:tcBorders>
          </w:tcPr>
          <w:p w14:paraId="57070C22" w14:textId="77777777" w:rsidR="00246533" w:rsidRPr="00F10BD1" w:rsidRDefault="00246533" w:rsidP="008D7575">
            <w:pPr>
              <w:pStyle w:val="TableParagraph"/>
              <w:kinsoku w:val="0"/>
              <w:overflowPunct w:val="0"/>
              <w:spacing w:line="96" w:lineRule="exact"/>
              <w:ind w:left="130"/>
              <w:rPr>
                <w:rFonts w:ascii="Times New Roman" w:hAnsi="Times New Roman" w:cs="Times New Roman"/>
              </w:rPr>
            </w:pPr>
          </w:p>
        </w:tc>
      </w:tr>
      <w:tr w:rsidR="00246533" w:rsidRPr="00F10BD1" w14:paraId="19DF48F5" w14:textId="77777777">
        <w:trPr>
          <w:trHeight w:hRule="exact" w:val="679"/>
        </w:trPr>
        <w:tc>
          <w:tcPr>
            <w:tcW w:w="1762" w:type="dxa"/>
            <w:tcBorders>
              <w:top w:val="single" w:sz="4" w:space="0" w:color="000000"/>
              <w:left w:val="single" w:sz="4" w:space="0" w:color="000000"/>
              <w:bottom w:val="single" w:sz="4" w:space="0" w:color="000000"/>
              <w:right w:val="single" w:sz="4" w:space="0" w:color="000000"/>
            </w:tcBorders>
            <w:shd w:val="clear" w:color="auto" w:fill="0069AA"/>
          </w:tcPr>
          <w:p w14:paraId="17B5964B" w14:textId="77777777" w:rsidR="00246533" w:rsidRPr="00F10BD1" w:rsidRDefault="00246533" w:rsidP="008D7575">
            <w:pPr>
              <w:pStyle w:val="TableParagraph"/>
              <w:kinsoku w:val="0"/>
              <w:overflowPunct w:val="0"/>
              <w:spacing w:before="61"/>
              <w:ind w:left="103"/>
              <w:rPr>
                <w:rFonts w:ascii="Times New Roman" w:hAnsi="Times New Roman" w:cs="Times New Roman"/>
              </w:rPr>
            </w:pPr>
            <w:r w:rsidRPr="00F10BD1">
              <w:rPr>
                <w:b/>
                <w:bCs/>
                <w:color w:val="FFFFFF"/>
                <w:sz w:val="20"/>
                <w:szCs w:val="20"/>
              </w:rPr>
              <w:t>Date:</w:t>
            </w:r>
          </w:p>
        </w:tc>
        <w:tc>
          <w:tcPr>
            <w:tcW w:w="6887" w:type="dxa"/>
            <w:tcBorders>
              <w:top w:val="single" w:sz="4" w:space="0" w:color="000000"/>
              <w:left w:val="single" w:sz="4" w:space="0" w:color="000000"/>
              <w:bottom w:val="single" w:sz="4" w:space="0" w:color="000000"/>
              <w:right w:val="single" w:sz="4" w:space="0" w:color="000000"/>
            </w:tcBorders>
          </w:tcPr>
          <w:p w14:paraId="2C537C96" w14:textId="77777777" w:rsidR="00246533" w:rsidRPr="00F10BD1" w:rsidRDefault="00D84D10" w:rsidP="008D7575">
            <w:pPr>
              <w:pStyle w:val="TableParagraph"/>
              <w:kinsoku w:val="0"/>
              <w:overflowPunct w:val="0"/>
              <w:spacing w:before="139"/>
              <w:ind w:left="185"/>
              <w:rPr>
                <w:rFonts w:ascii="Times New Roman" w:hAnsi="Times New Roman" w:cs="Times New Roman"/>
              </w:rPr>
            </w:pPr>
            <w:r w:rsidRPr="00F10BD1">
              <w:rPr>
                <w:sz w:val="22"/>
                <w:szCs w:val="22"/>
              </w:rPr>
              <w:t>[Insert date]</w:t>
            </w:r>
          </w:p>
        </w:tc>
      </w:tr>
    </w:tbl>
    <w:p w14:paraId="25FE96E7" w14:textId="77777777" w:rsidR="00246533" w:rsidRDefault="00246533" w:rsidP="008D7575">
      <w:pPr>
        <w:pStyle w:val="BodyText"/>
        <w:kinsoku w:val="0"/>
        <w:overflowPunct w:val="0"/>
        <w:rPr>
          <w:b/>
          <w:bCs/>
          <w:sz w:val="20"/>
          <w:szCs w:val="20"/>
        </w:rPr>
      </w:pPr>
    </w:p>
    <w:p w14:paraId="32EFE2BA" w14:textId="77777777" w:rsidR="00246533" w:rsidRDefault="00246533" w:rsidP="008D7575">
      <w:pPr>
        <w:pStyle w:val="BodyText"/>
        <w:kinsoku w:val="0"/>
        <w:overflowPunct w:val="0"/>
        <w:rPr>
          <w:b/>
          <w:bCs/>
          <w:sz w:val="20"/>
          <w:szCs w:val="20"/>
        </w:rPr>
      </w:pPr>
    </w:p>
    <w:p w14:paraId="37D9C5FF" w14:textId="77777777" w:rsidR="00246533" w:rsidRDefault="00246533" w:rsidP="008D7575">
      <w:pPr>
        <w:pStyle w:val="BodyText"/>
        <w:kinsoku w:val="0"/>
        <w:overflowPunct w:val="0"/>
        <w:rPr>
          <w:b/>
          <w:bCs/>
          <w:sz w:val="20"/>
          <w:szCs w:val="20"/>
        </w:rPr>
      </w:pPr>
    </w:p>
    <w:p w14:paraId="388DABF7" w14:textId="77777777" w:rsidR="00246533" w:rsidRDefault="00246533" w:rsidP="008D7575">
      <w:pPr>
        <w:pStyle w:val="BodyText"/>
        <w:kinsoku w:val="0"/>
        <w:overflowPunct w:val="0"/>
        <w:rPr>
          <w:b/>
          <w:bCs/>
          <w:sz w:val="20"/>
          <w:szCs w:val="20"/>
        </w:rPr>
      </w:pPr>
    </w:p>
    <w:p w14:paraId="2E0B04E3" w14:textId="77777777" w:rsidR="00246533" w:rsidRDefault="00246533" w:rsidP="008D7575">
      <w:pPr>
        <w:pStyle w:val="BodyText"/>
        <w:kinsoku w:val="0"/>
        <w:overflowPunct w:val="0"/>
        <w:rPr>
          <w:b/>
          <w:bCs/>
          <w:sz w:val="20"/>
          <w:szCs w:val="20"/>
        </w:rPr>
      </w:pPr>
    </w:p>
    <w:p w14:paraId="77C7505A" w14:textId="77777777" w:rsidR="00246533" w:rsidRDefault="00246533" w:rsidP="008D7575">
      <w:pPr>
        <w:pStyle w:val="BodyText"/>
        <w:kinsoku w:val="0"/>
        <w:overflowPunct w:val="0"/>
        <w:rPr>
          <w:b/>
          <w:bCs/>
          <w:sz w:val="20"/>
          <w:szCs w:val="20"/>
        </w:rPr>
      </w:pPr>
    </w:p>
    <w:p w14:paraId="34628F5F" w14:textId="77777777" w:rsidR="00246533" w:rsidRDefault="00246533" w:rsidP="008D7575">
      <w:pPr>
        <w:pStyle w:val="BodyText"/>
        <w:kinsoku w:val="0"/>
        <w:overflowPunct w:val="0"/>
        <w:rPr>
          <w:b/>
          <w:bCs/>
          <w:sz w:val="20"/>
          <w:szCs w:val="20"/>
        </w:rPr>
      </w:pPr>
    </w:p>
    <w:p w14:paraId="442300F5" w14:textId="77777777" w:rsidR="00246533" w:rsidRDefault="00246533" w:rsidP="008D7575">
      <w:pPr>
        <w:pStyle w:val="BodyText"/>
        <w:kinsoku w:val="0"/>
        <w:overflowPunct w:val="0"/>
        <w:rPr>
          <w:b/>
          <w:bCs/>
          <w:sz w:val="20"/>
          <w:szCs w:val="20"/>
        </w:rPr>
      </w:pPr>
    </w:p>
    <w:p w14:paraId="0DE8A1DB" w14:textId="77777777" w:rsidR="00246533" w:rsidRDefault="00246533" w:rsidP="008D7575">
      <w:pPr>
        <w:pStyle w:val="BodyText"/>
        <w:kinsoku w:val="0"/>
        <w:overflowPunct w:val="0"/>
        <w:rPr>
          <w:b/>
          <w:bCs/>
          <w:sz w:val="20"/>
          <w:szCs w:val="20"/>
        </w:rPr>
      </w:pPr>
    </w:p>
    <w:p w14:paraId="309602C9" w14:textId="77777777" w:rsidR="00246533" w:rsidRDefault="00246533" w:rsidP="008D7575">
      <w:pPr>
        <w:pStyle w:val="BodyText"/>
        <w:kinsoku w:val="0"/>
        <w:overflowPunct w:val="0"/>
        <w:rPr>
          <w:b/>
          <w:bCs/>
          <w:sz w:val="20"/>
          <w:szCs w:val="20"/>
        </w:rPr>
      </w:pPr>
    </w:p>
    <w:p w14:paraId="05F5A3A7" w14:textId="77777777" w:rsidR="00ED0A30" w:rsidRDefault="00ED0A30" w:rsidP="008D7575">
      <w:pPr>
        <w:pStyle w:val="BodyText"/>
        <w:kinsoku w:val="0"/>
        <w:overflowPunct w:val="0"/>
        <w:rPr>
          <w:b/>
          <w:bCs/>
          <w:sz w:val="20"/>
          <w:szCs w:val="20"/>
        </w:rPr>
      </w:pPr>
    </w:p>
    <w:p w14:paraId="3B93EDD9" w14:textId="77777777" w:rsidR="00ED0A30" w:rsidRDefault="00ED0A30" w:rsidP="008D7575">
      <w:pPr>
        <w:pStyle w:val="BodyText"/>
        <w:kinsoku w:val="0"/>
        <w:overflowPunct w:val="0"/>
        <w:rPr>
          <w:b/>
          <w:bCs/>
          <w:sz w:val="20"/>
          <w:szCs w:val="20"/>
        </w:rPr>
      </w:pPr>
    </w:p>
    <w:p w14:paraId="35186FCE" w14:textId="77777777" w:rsidR="00ED0A30" w:rsidRDefault="00ED0A30" w:rsidP="008D7575">
      <w:pPr>
        <w:pStyle w:val="BodyText"/>
        <w:kinsoku w:val="0"/>
        <w:overflowPunct w:val="0"/>
        <w:rPr>
          <w:b/>
          <w:bCs/>
          <w:sz w:val="20"/>
          <w:szCs w:val="20"/>
        </w:rPr>
      </w:pPr>
    </w:p>
    <w:p w14:paraId="058600BD" w14:textId="77777777" w:rsidR="00ED0A30" w:rsidRDefault="00ED0A30" w:rsidP="008D7575">
      <w:pPr>
        <w:pStyle w:val="BodyText"/>
        <w:kinsoku w:val="0"/>
        <w:overflowPunct w:val="0"/>
        <w:rPr>
          <w:b/>
          <w:bCs/>
          <w:sz w:val="20"/>
          <w:szCs w:val="20"/>
        </w:rPr>
      </w:pPr>
    </w:p>
    <w:p w14:paraId="00D71068" w14:textId="77777777" w:rsidR="00ED0A30" w:rsidRDefault="00ED0A30" w:rsidP="008D7575">
      <w:pPr>
        <w:pStyle w:val="BodyText"/>
        <w:kinsoku w:val="0"/>
        <w:overflowPunct w:val="0"/>
        <w:rPr>
          <w:b/>
          <w:bCs/>
          <w:sz w:val="20"/>
          <w:szCs w:val="20"/>
        </w:rPr>
      </w:pPr>
    </w:p>
    <w:p w14:paraId="559D0CAB" w14:textId="77777777" w:rsidR="00ED0A30" w:rsidRDefault="00ED0A30" w:rsidP="008D7575">
      <w:pPr>
        <w:pStyle w:val="BodyText"/>
        <w:kinsoku w:val="0"/>
        <w:overflowPunct w:val="0"/>
        <w:rPr>
          <w:b/>
          <w:bCs/>
          <w:sz w:val="20"/>
          <w:szCs w:val="20"/>
        </w:rPr>
      </w:pPr>
    </w:p>
    <w:p w14:paraId="04FBE061" w14:textId="77777777" w:rsidR="00ED0A30" w:rsidRDefault="00ED0A30" w:rsidP="008D7575">
      <w:pPr>
        <w:pStyle w:val="BodyText"/>
        <w:kinsoku w:val="0"/>
        <w:overflowPunct w:val="0"/>
        <w:rPr>
          <w:b/>
          <w:bCs/>
          <w:sz w:val="20"/>
          <w:szCs w:val="20"/>
        </w:rPr>
      </w:pPr>
    </w:p>
    <w:p w14:paraId="4DDBA987" w14:textId="77777777" w:rsidR="00ED0A30" w:rsidRDefault="00ED0A30" w:rsidP="008D7575">
      <w:pPr>
        <w:pStyle w:val="BodyText"/>
        <w:kinsoku w:val="0"/>
        <w:overflowPunct w:val="0"/>
        <w:rPr>
          <w:b/>
          <w:bCs/>
          <w:sz w:val="20"/>
          <w:szCs w:val="20"/>
        </w:rPr>
      </w:pPr>
    </w:p>
    <w:p w14:paraId="7F037409" w14:textId="77777777" w:rsidR="00246533" w:rsidRDefault="00246533" w:rsidP="008D7575">
      <w:pPr>
        <w:pStyle w:val="BodyText"/>
        <w:kinsoku w:val="0"/>
        <w:overflowPunct w:val="0"/>
        <w:rPr>
          <w:b/>
          <w:bCs/>
          <w:sz w:val="20"/>
          <w:szCs w:val="20"/>
        </w:rPr>
      </w:pPr>
    </w:p>
    <w:p w14:paraId="42876EDC" w14:textId="77777777" w:rsidR="00246533" w:rsidRDefault="00246533" w:rsidP="008D7575">
      <w:pPr>
        <w:pStyle w:val="BodyText"/>
        <w:kinsoku w:val="0"/>
        <w:overflowPunct w:val="0"/>
        <w:spacing w:before="6"/>
        <w:rPr>
          <w:b/>
          <w:bCs/>
          <w:sz w:val="12"/>
          <w:szCs w:val="12"/>
        </w:rPr>
      </w:pPr>
    </w:p>
    <w:p w14:paraId="60B4D5D9" w14:textId="77777777" w:rsidR="00F10BD1" w:rsidRPr="00E62B57" w:rsidRDefault="00F10BD1" w:rsidP="008D7575">
      <w:pPr>
        <w:pStyle w:val="ListParagraph"/>
        <w:widowControl/>
        <w:numPr>
          <w:ilvl w:val="0"/>
          <w:numId w:val="15"/>
        </w:numPr>
        <w:autoSpaceDE/>
        <w:autoSpaceDN/>
        <w:adjustRightInd/>
        <w:spacing w:line="259" w:lineRule="auto"/>
        <w:contextualSpacing/>
        <w:rPr>
          <w:rFonts w:asciiTheme="minorHAnsi" w:hAnsiTheme="minorHAnsi"/>
          <w:b/>
          <w:color w:val="2E74B5"/>
          <w:sz w:val="28"/>
          <w:szCs w:val="28"/>
          <w:u w:val="single"/>
        </w:rPr>
      </w:pPr>
      <w:r w:rsidRPr="00E62B57">
        <w:rPr>
          <w:rFonts w:asciiTheme="minorHAnsi" w:hAnsiTheme="minorHAnsi"/>
          <w:b/>
          <w:color w:val="2E74B5"/>
          <w:sz w:val="28"/>
          <w:szCs w:val="28"/>
          <w:u w:val="single"/>
        </w:rPr>
        <w:t xml:space="preserve">PURPOSE: </w:t>
      </w:r>
    </w:p>
    <w:p w14:paraId="147CBD34" w14:textId="77777777" w:rsidR="00F10BD1" w:rsidRPr="00E62B57" w:rsidRDefault="00F10BD1" w:rsidP="008D7575">
      <w:pPr>
        <w:ind w:left="720"/>
        <w:rPr>
          <w:rFonts w:asciiTheme="minorHAnsi" w:hAnsiTheme="minorHAnsi"/>
          <w:color w:val="000000"/>
          <w:sz w:val="22"/>
          <w:szCs w:val="22"/>
        </w:rPr>
      </w:pPr>
      <w:r w:rsidRPr="00E62B57">
        <w:rPr>
          <w:rFonts w:asciiTheme="minorHAnsi" w:hAnsiTheme="minorHAnsi"/>
          <w:color w:val="000000"/>
          <w:sz w:val="22"/>
          <w:szCs w:val="22"/>
        </w:rPr>
        <w:t>This Standard Operating Procedure (SOP) describes the standards for assessing the feasibility of implementing a research protocol at Emory University (EU).</w:t>
      </w:r>
    </w:p>
    <w:p w14:paraId="10731F6D" w14:textId="77777777" w:rsidR="00F10BD1" w:rsidRPr="00E62B57" w:rsidRDefault="00F10BD1" w:rsidP="008D7575">
      <w:pPr>
        <w:ind w:left="720"/>
        <w:rPr>
          <w:rFonts w:asciiTheme="minorHAnsi" w:hAnsiTheme="minorHAnsi"/>
          <w:color w:val="000000"/>
          <w:sz w:val="22"/>
          <w:szCs w:val="22"/>
        </w:rPr>
      </w:pPr>
      <w:r w:rsidRPr="00E62B57">
        <w:rPr>
          <w:rFonts w:asciiTheme="minorHAnsi" w:hAnsiTheme="minorHAnsi"/>
          <w:color w:val="000000"/>
          <w:sz w:val="22"/>
          <w:szCs w:val="22"/>
        </w:rPr>
        <w:t>The purpose of the SOP is to describe the procedure of clinical trial feasibility undertaken at Emory University and to ensure:</w:t>
      </w:r>
    </w:p>
    <w:p w14:paraId="2B896088" w14:textId="77777777" w:rsidR="00F10BD1" w:rsidRPr="00E62B57" w:rsidRDefault="00F10BD1" w:rsidP="008D7575">
      <w:pPr>
        <w:pStyle w:val="ListParagraph"/>
        <w:widowControl/>
        <w:numPr>
          <w:ilvl w:val="0"/>
          <w:numId w:val="6"/>
        </w:numPr>
        <w:autoSpaceDE/>
        <w:autoSpaceDN/>
        <w:adjustRightInd/>
        <w:spacing w:line="259" w:lineRule="auto"/>
        <w:ind w:left="1440"/>
        <w:contextualSpacing/>
        <w:rPr>
          <w:rFonts w:asciiTheme="minorHAnsi" w:hAnsiTheme="minorHAnsi"/>
          <w:color w:val="000000"/>
          <w:sz w:val="22"/>
          <w:szCs w:val="22"/>
        </w:rPr>
      </w:pPr>
      <w:r w:rsidRPr="00E62B57">
        <w:rPr>
          <w:rFonts w:asciiTheme="minorHAnsi" w:hAnsiTheme="minorHAnsi"/>
          <w:color w:val="000000"/>
          <w:sz w:val="22"/>
          <w:szCs w:val="22"/>
        </w:rPr>
        <w:t xml:space="preserve">Assessment of the feasibility of conducting a specific protocol at EU </w:t>
      </w:r>
    </w:p>
    <w:p w14:paraId="50490344" w14:textId="77777777" w:rsidR="00F10BD1" w:rsidRPr="00E62B57" w:rsidRDefault="00F10BD1" w:rsidP="008D7575">
      <w:pPr>
        <w:pStyle w:val="ListParagraph"/>
        <w:widowControl/>
        <w:numPr>
          <w:ilvl w:val="2"/>
          <w:numId w:val="6"/>
        </w:numPr>
        <w:autoSpaceDE/>
        <w:autoSpaceDN/>
        <w:adjustRightInd/>
        <w:spacing w:line="259" w:lineRule="auto"/>
        <w:contextualSpacing/>
        <w:rPr>
          <w:rFonts w:asciiTheme="minorHAnsi" w:hAnsiTheme="minorHAnsi"/>
          <w:color w:val="000000"/>
          <w:sz w:val="22"/>
          <w:szCs w:val="22"/>
        </w:rPr>
      </w:pPr>
      <w:r w:rsidRPr="00E62B57">
        <w:rPr>
          <w:rFonts w:asciiTheme="minorHAnsi" w:hAnsiTheme="minorHAnsi"/>
          <w:color w:val="000000"/>
          <w:sz w:val="22"/>
          <w:szCs w:val="22"/>
        </w:rPr>
        <w:t>Before agreeing to participate in a clinical research study, the Investigator and EU must agree to scientific, clinical and ethical merits of the study, the financial impact to the institution, compliance with regulations, and the operational feasibility of conducting the study at EU</w:t>
      </w:r>
    </w:p>
    <w:p w14:paraId="1C0F3AF2" w14:textId="236BDF7B" w:rsidR="00F10BD1" w:rsidRPr="00E62B57" w:rsidRDefault="00F10BD1" w:rsidP="008D7575">
      <w:pPr>
        <w:pStyle w:val="ListParagraph"/>
        <w:widowControl/>
        <w:numPr>
          <w:ilvl w:val="0"/>
          <w:numId w:val="6"/>
        </w:numPr>
        <w:autoSpaceDE/>
        <w:autoSpaceDN/>
        <w:adjustRightInd/>
        <w:spacing w:line="259" w:lineRule="auto"/>
        <w:ind w:left="1440"/>
        <w:contextualSpacing/>
        <w:rPr>
          <w:rFonts w:asciiTheme="minorHAnsi" w:hAnsiTheme="minorHAnsi"/>
          <w:color w:val="000000"/>
          <w:sz w:val="22"/>
          <w:szCs w:val="22"/>
        </w:rPr>
      </w:pPr>
      <w:r w:rsidRPr="00E62B57">
        <w:rPr>
          <w:rFonts w:asciiTheme="minorHAnsi" w:hAnsiTheme="minorHAnsi"/>
          <w:color w:val="000000"/>
          <w:sz w:val="22"/>
          <w:szCs w:val="22"/>
        </w:rPr>
        <w:t>All relevant departments (internal and external) are consulted and can support the project</w:t>
      </w:r>
    </w:p>
    <w:p w14:paraId="0F551754" w14:textId="1907988C" w:rsidR="00F10BD1" w:rsidRPr="00E62B57" w:rsidRDefault="00F10BD1" w:rsidP="008D7575">
      <w:pPr>
        <w:pStyle w:val="ListParagraph"/>
        <w:widowControl/>
        <w:numPr>
          <w:ilvl w:val="0"/>
          <w:numId w:val="6"/>
        </w:numPr>
        <w:autoSpaceDE/>
        <w:autoSpaceDN/>
        <w:adjustRightInd/>
        <w:spacing w:line="259" w:lineRule="auto"/>
        <w:ind w:left="1440"/>
        <w:contextualSpacing/>
        <w:rPr>
          <w:rFonts w:asciiTheme="minorHAnsi" w:hAnsiTheme="minorHAnsi"/>
          <w:color w:val="000000"/>
          <w:sz w:val="22"/>
          <w:szCs w:val="22"/>
        </w:rPr>
      </w:pPr>
      <w:r w:rsidRPr="00E62B57">
        <w:rPr>
          <w:rFonts w:asciiTheme="minorHAnsi" w:hAnsiTheme="minorHAnsi"/>
          <w:color w:val="000000"/>
          <w:sz w:val="22"/>
          <w:szCs w:val="22"/>
        </w:rPr>
        <w:t>The proposed trials are a strategic fit and aligned with EU</w:t>
      </w:r>
    </w:p>
    <w:p w14:paraId="4E6CBAF2" w14:textId="5373FADD" w:rsidR="00F10BD1" w:rsidRDefault="00F10BD1" w:rsidP="008D7575">
      <w:pPr>
        <w:pStyle w:val="ListParagraph"/>
        <w:widowControl/>
        <w:numPr>
          <w:ilvl w:val="0"/>
          <w:numId w:val="6"/>
        </w:numPr>
        <w:autoSpaceDE/>
        <w:autoSpaceDN/>
        <w:adjustRightInd/>
        <w:spacing w:line="259" w:lineRule="auto"/>
        <w:ind w:left="1440"/>
        <w:contextualSpacing/>
        <w:rPr>
          <w:rFonts w:asciiTheme="minorHAnsi" w:hAnsiTheme="minorHAnsi"/>
          <w:color w:val="000000"/>
          <w:sz w:val="22"/>
          <w:szCs w:val="22"/>
        </w:rPr>
      </w:pPr>
      <w:r w:rsidRPr="00E62B57">
        <w:rPr>
          <w:rFonts w:asciiTheme="minorHAnsi" w:hAnsiTheme="minorHAnsi"/>
          <w:color w:val="000000"/>
          <w:sz w:val="22"/>
          <w:szCs w:val="22"/>
        </w:rPr>
        <w:t>Research projects have the best possible outcome in terms of recruitment, patient safety, budget and time frames</w:t>
      </w:r>
    </w:p>
    <w:p w14:paraId="3C4CB00E" w14:textId="77777777" w:rsidR="00F10BD1" w:rsidRPr="00E62B57" w:rsidRDefault="00F10BD1" w:rsidP="008D7575">
      <w:pPr>
        <w:pStyle w:val="ListParagraph"/>
        <w:widowControl/>
        <w:numPr>
          <w:ilvl w:val="0"/>
          <w:numId w:val="15"/>
        </w:numPr>
        <w:autoSpaceDE/>
        <w:autoSpaceDN/>
        <w:adjustRightInd/>
        <w:spacing w:line="259" w:lineRule="auto"/>
        <w:contextualSpacing/>
        <w:rPr>
          <w:rFonts w:asciiTheme="minorHAnsi" w:hAnsiTheme="minorHAnsi"/>
          <w:color w:val="2E74B5"/>
          <w:sz w:val="28"/>
          <w:szCs w:val="28"/>
          <w:u w:val="single"/>
        </w:rPr>
      </w:pPr>
      <w:r w:rsidRPr="00E62B57">
        <w:rPr>
          <w:rFonts w:asciiTheme="minorHAnsi" w:hAnsiTheme="minorHAnsi"/>
          <w:b/>
          <w:color w:val="2E74B5"/>
          <w:sz w:val="28"/>
          <w:szCs w:val="28"/>
          <w:u w:val="single"/>
        </w:rPr>
        <w:t>SCOPE</w:t>
      </w:r>
      <w:r w:rsidRPr="00E62B57">
        <w:rPr>
          <w:rFonts w:asciiTheme="minorHAnsi" w:hAnsiTheme="minorHAnsi"/>
          <w:color w:val="2E74B5"/>
          <w:sz w:val="28"/>
          <w:szCs w:val="28"/>
          <w:u w:val="single"/>
        </w:rPr>
        <w:t xml:space="preserve">: </w:t>
      </w:r>
    </w:p>
    <w:p w14:paraId="650AD044" w14:textId="77777777" w:rsidR="00F10BD1" w:rsidRPr="00E62B57" w:rsidRDefault="00F10BD1" w:rsidP="008D7575">
      <w:pPr>
        <w:ind w:left="720"/>
        <w:rPr>
          <w:rFonts w:asciiTheme="minorHAnsi" w:hAnsiTheme="minorHAnsi"/>
          <w:color w:val="000000"/>
          <w:sz w:val="22"/>
          <w:szCs w:val="22"/>
        </w:rPr>
      </w:pPr>
      <w:r w:rsidRPr="00E62B57">
        <w:rPr>
          <w:rFonts w:asciiTheme="minorHAnsi" w:hAnsiTheme="minorHAnsi"/>
          <w:color w:val="000000"/>
          <w:sz w:val="22"/>
          <w:szCs w:val="22"/>
        </w:rPr>
        <w:t>This SOP applies to all the clinical studies being considered for conduct in the [insert department/division] at EU.</w:t>
      </w:r>
    </w:p>
    <w:p w14:paraId="6AE4AFF8" w14:textId="77777777" w:rsidR="00F10BD1" w:rsidRPr="00E62B57" w:rsidRDefault="00F10BD1" w:rsidP="008D7575">
      <w:pPr>
        <w:ind w:left="720"/>
        <w:rPr>
          <w:rFonts w:asciiTheme="minorHAnsi" w:hAnsiTheme="minorHAnsi"/>
          <w:color w:val="000000"/>
          <w:sz w:val="22"/>
          <w:szCs w:val="22"/>
        </w:rPr>
      </w:pPr>
      <w:r w:rsidRPr="00E62B57">
        <w:rPr>
          <w:rFonts w:asciiTheme="minorHAnsi" w:hAnsiTheme="minorHAnsi"/>
          <w:color w:val="000000"/>
          <w:sz w:val="22"/>
          <w:szCs w:val="22"/>
        </w:rPr>
        <w:t xml:space="preserve">This SOP provides instruction and sets minimum standards regarding the process for reviewing the feasibility of implementing a research protocol throughout EU with emphasis on recruitment, site logistics, and financial resources for implementation and completion of the study.  </w:t>
      </w:r>
    </w:p>
    <w:p w14:paraId="623FB32E" w14:textId="77777777" w:rsidR="00F10BD1" w:rsidRPr="00E62B57" w:rsidRDefault="00F10BD1" w:rsidP="008D7575">
      <w:pPr>
        <w:ind w:left="720"/>
        <w:rPr>
          <w:rFonts w:asciiTheme="minorHAnsi" w:hAnsiTheme="minorHAnsi"/>
          <w:color w:val="000000"/>
          <w:sz w:val="22"/>
          <w:szCs w:val="22"/>
        </w:rPr>
      </w:pPr>
      <w:r w:rsidRPr="00E62B57">
        <w:rPr>
          <w:rFonts w:asciiTheme="minorHAnsi" w:hAnsiTheme="minorHAnsi"/>
          <w:color w:val="000000"/>
          <w:sz w:val="22"/>
          <w:szCs w:val="22"/>
        </w:rPr>
        <w:t>Departments must utilize and complete the protocol feasibility assessment process prior to grant, IRB (initial and annual review), or FDA submissions.</w:t>
      </w:r>
    </w:p>
    <w:p w14:paraId="40C9CFBE" w14:textId="77777777" w:rsidR="00F10BD1" w:rsidRPr="00E62B57" w:rsidRDefault="00F10BD1" w:rsidP="008D7575">
      <w:pPr>
        <w:rPr>
          <w:rFonts w:asciiTheme="minorHAnsi" w:hAnsiTheme="minorHAnsi"/>
          <w:b/>
          <w:color w:val="C00000"/>
          <w:sz w:val="22"/>
          <w:szCs w:val="22"/>
          <w:u w:val="single"/>
        </w:rPr>
      </w:pPr>
    </w:p>
    <w:p w14:paraId="1933724F" w14:textId="77777777" w:rsidR="00F10BD1" w:rsidRPr="00E62B57" w:rsidRDefault="00F10BD1" w:rsidP="008D7575">
      <w:pPr>
        <w:pStyle w:val="ListParagraph"/>
        <w:widowControl/>
        <w:numPr>
          <w:ilvl w:val="0"/>
          <w:numId w:val="15"/>
        </w:numPr>
        <w:autoSpaceDE/>
        <w:autoSpaceDN/>
        <w:adjustRightInd/>
        <w:spacing w:line="259" w:lineRule="auto"/>
        <w:contextualSpacing/>
        <w:rPr>
          <w:rFonts w:asciiTheme="minorHAnsi" w:hAnsiTheme="minorHAnsi"/>
          <w:b/>
          <w:color w:val="2E74B5"/>
          <w:sz w:val="28"/>
          <w:szCs w:val="28"/>
          <w:u w:val="single"/>
        </w:rPr>
      </w:pPr>
      <w:r w:rsidRPr="00E62B57">
        <w:rPr>
          <w:rFonts w:asciiTheme="minorHAnsi" w:hAnsiTheme="minorHAnsi"/>
          <w:b/>
          <w:color w:val="2E74B5"/>
          <w:sz w:val="28"/>
          <w:szCs w:val="28"/>
          <w:u w:val="single"/>
        </w:rPr>
        <w:t>RESPONSIBLE INDIVIDUALS:</w:t>
      </w:r>
    </w:p>
    <w:p w14:paraId="65B502B6" w14:textId="77777777" w:rsidR="00F10BD1" w:rsidRPr="00E62B57" w:rsidRDefault="00F10BD1" w:rsidP="008D7575">
      <w:pPr>
        <w:ind w:left="720"/>
        <w:rPr>
          <w:rFonts w:asciiTheme="minorHAnsi" w:hAnsiTheme="minorHAnsi"/>
          <w:color w:val="000000"/>
          <w:sz w:val="22"/>
          <w:szCs w:val="22"/>
        </w:rPr>
      </w:pPr>
      <w:r w:rsidRPr="00E62B57">
        <w:rPr>
          <w:rFonts w:asciiTheme="minorHAnsi" w:hAnsiTheme="minorHAnsi"/>
          <w:color w:val="000000"/>
          <w:sz w:val="22"/>
          <w:szCs w:val="22"/>
        </w:rPr>
        <w:t>This SOP applies to all Investigators who would like to implement a research study that prospectively enrolls human subjects.  Research projects including sponsored research, clinical trials, and FDA regulated studies (including investigator initiated) are subject to this policy.  Retrospective chart review, biorepositories, tissue and blood sample banking, exempt research, questionnaire studies, and behavioral research are all exempt from this requirement.  If research design includes elements that span both exempt (chart review) and non-exempt (FDA regulated), then this SOP would apply to that research protocol.</w:t>
      </w:r>
    </w:p>
    <w:p w14:paraId="6C35DAEE" w14:textId="77777777" w:rsidR="00F10BD1" w:rsidRPr="00E62B57" w:rsidRDefault="00F10BD1" w:rsidP="008D7575">
      <w:pPr>
        <w:ind w:left="720"/>
        <w:rPr>
          <w:rFonts w:asciiTheme="minorHAnsi" w:hAnsiTheme="minorHAnsi"/>
          <w:color w:val="000000"/>
          <w:sz w:val="22"/>
          <w:szCs w:val="22"/>
        </w:rPr>
      </w:pPr>
    </w:p>
    <w:p w14:paraId="691CBBFE" w14:textId="77777777" w:rsidR="00F10BD1" w:rsidRPr="00E62B57" w:rsidRDefault="00F10BD1" w:rsidP="008D7575">
      <w:pPr>
        <w:ind w:left="720"/>
        <w:rPr>
          <w:rFonts w:asciiTheme="minorHAnsi" w:hAnsiTheme="minorHAnsi"/>
          <w:sz w:val="22"/>
          <w:szCs w:val="22"/>
        </w:rPr>
      </w:pPr>
      <w:r w:rsidRPr="00E62B57">
        <w:rPr>
          <w:rFonts w:asciiTheme="minorHAnsi" w:hAnsiTheme="minorHAnsi"/>
          <w:sz w:val="22"/>
          <w:szCs w:val="22"/>
        </w:rPr>
        <w:t>The Investigator is ultimately accountable for all clinical research activities and is responsible for the appropriate delegation of tasks to individuals with adequate training and education to perform such tasks.  It is the responsibility of all members of the clinical research team involved in supervising, managing, or conducting study-related activities to follow SOP.  The clinical research team may include but is not limited to the following members:  Investigator, Sub-Investigator, Clinical Research Coordinator (CRC), Clinical Research Nurse (CRN) other research staff as appropriate, Administrative/Support staff.</w:t>
      </w:r>
    </w:p>
    <w:p w14:paraId="0E64EFE5" w14:textId="77777777" w:rsidR="00F10BD1" w:rsidRDefault="00F10BD1" w:rsidP="008D7575">
      <w:pPr>
        <w:ind w:left="720"/>
        <w:rPr>
          <w:rFonts w:asciiTheme="minorHAnsi" w:hAnsiTheme="minorHAnsi"/>
          <w:sz w:val="22"/>
          <w:szCs w:val="22"/>
        </w:rPr>
      </w:pPr>
    </w:p>
    <w:p w14:paraId="5153D7E4" w14:textId="77777777" w:rsidR="00E62B57" w:rsidRDefault="00E62B57" w:rsidP="008D7575">
      <w:pPr>
        <w:ind w:left="720"/>
        <w:rPr>
          <w:rFonts w:asciiTheme="minorHAnsi" w:hAnsiTheme="minorHAnsi"/>
          <w:sz w:val="22"/>
          <w:szCs w:val="22"/>
        </w:rPr>
      </w:pPr>
    </w:p>
    <w:p w14:paraId="188E2C68" w14:textId="77777777" w:rsidR="00E62B57" w:rsidRDefault="00E62B57" w:rsidP="008D7575">
      <w:pPr>
        <w:ind w:left="720"/>
        <w:rPr>
          <w:rFonts w:asciiTheme="minorHAnsi" w:hAnsiTheme="minorHAnsi"/>
          <w:sz w:val="22"/>
          <w:szCs w:val="22"/>
        </w:rPr>
      </w:pPr>
    </w:p>
    <w:p w14:paraId="214A5ECF" w14:textId="77777777" w:rsidR="00E62B57" w:rsidRDefault="00E62B57" w:rsidP="008D7575">
      <w:pPr>
        <w:pStyle w:val="ListParagraph"/>
        <w:widowControl/>
        <w:autoSpaceDE/>
        <w:autoSpaceDN/>
        <w:adjustRightInd/>
        <w:spacing w:line="259" w:lineRule="auto"/>
        <w:ind w:left="0" w:firstLine="0"/>
        <w:contextualSpacing/>
        <w:rPr>
          <w:rFonts w:asciiTheme="minorHAnsi" w:hAnsiTheme="minorHAnsi"/>
          <w:sz w:val="22"/>
          <w:szCs w:val="22"/>
        </w:rPr>
      </w:pPr>
    </w:p>
    <w:p w14:paraId="3D23FA8C" w14:textId="77777777" w:rsidR="00F10BD1" w:rsidRPr="00813F8C" w:rsidRDefault="00813F8C" w:rsidP="008D7575">
      <w:pPr>
        <w:pStyle w:val="ListParagraph"/>
        <w:widowControl/>
        <w:autoSpaceDE/>
        <w:autoSpaceDN/>
        <w:adjustRightInd/>
        <w:spacing w:line="259" w:lineRule="auto"/>
        <w:ind w:left="0" w:firstLine="0"/>
        <w:contextualSpacing/>
        <w:rPr>
          <w:rFonts w:asciiTheme="minorHAnsi" w:hAnsiTheme="minorHAnsi"/>
          <w:b/>
          <w:color w:val="2E74B5"/>
          <w:sz w:val="28"/>
          <w:szCs w:val="28"/>
          <w:u w:val="single"/>
        </w:rPr>
      </w:pPr>
      <w:r w:rsidRPr="00813F8C">
        <w:rPr>
          <w:rFonts w:asciiTheme="minorHAnsi" w:hAnsiTheme="minorHAnsi"/>
          <w:b/>
          <w:color w:val="2E74B5"/>
          <w:sz w:val="28"/>
          <w:szCs w:val="28"/>
        </w:rPr>
        <w:t xml:space="preserve">4. </w:t>
      </w:r>
      <w:r w:rsidR="00F10BD1" w:rsidRPr="00813F8C">
        <w:rPr>
          <w:rFonts w:asciiTheme="minorHAnsi" w:hAnsiTheme="minorHAnsi"/>
          <w:b/>
          <w:color w:val="2E74B5"/>
          <w:sz w:val="28"/>
          <w:szCs w:val="28"/>
          <w:u w:val="single"/>
        </w:rPr>
        <w:t>Definitions:</w:t>
      </w:r>
    </w:p>
    <w:p w14:paraId="284FB469" w14:textId="77777777" w:rsidR="00F10BD1" w:rsidRPr="00E62B57" w:rsidRDefault="00F10BD1" w:rsidP="008D7575">
      <w:pPr>
        <w:ind w:left="270"/>
        <w:rPr>
          <w:rFonts w:asciiTheme="minorHAnsi" w:hAnsiTheme="minorHAnsi"/>
          <w:sz w:val="22"/>
          <w:szCs w:val="22"/>
        </w:rPr>
      </w:pPr>
      <w:r w:rsidRPr="00E62B57">
        <w:rPr>
          <w:rFonts w:asciiTheme="minorHAnsi" w:hAnsiTheme="minorHAnsi"/>
          <w:b/>
          <w:sz w:val="22"/>
          <w:szCs w:val="22"/>
        </w:rPr>
        <w:t xml:space="preserve">Feasibility Assessment: </w:t>
      </w:r>
      <w:r w:rsidRPr="00E62B57">
        <w:rPr>
          <w:rFonts w:asciiTheme="minorHAnsi" w:hAnsiTheme="minorHAnsi"/>
          <w:sz w:val="22"/>
          <w:szCs w:val="22"/>
        </w:rPr>
        <w:t>To evaluate the possibility of conducting a clinical trial in a proposed location based on a list of questions.  The answers will allow the qualified Investigator to make an informed decision regarding the feasibility of the study at his/her site.</w:t>
      </w:r>
    </w:p>
    <w:p w14:paraId="14C8FB09" w14:textId="77777777" w:rsidR="00F10BD1" w:rsidRPr="00E62B57" w:rsidRDefault="00F10BD1" w:rsidP="008D7575">
      <w:pPr>
        <w:ind w:left="360"/>
        <w:rPr>
          <w:rFonts w:asciiTheme="minorHAnsi" w:hAnsiTheme="minorHAnsi"/>
          <w:sz w:val="22"/>
          <w:szCs w:val="22"/>
        </w:rPr>
      </w:pPr>
    </w:p>
    <w:p w14:paraId="7D534868" w14:textId="77777777" w:rsidR="00F10BD1" w:rsidRPr="00E62B57" w:rsidRDefault="00F10BD1" w:rsidP="008D7575">
      <w:pPr>
        <w:pStyle w:val="ListParagraph"/>
        <w:widowControl/>
        <w:numPr>
          <w:ilvl w:val="0"/>
          <w:numId w:val="16"/>
        </w:numPr>
        <w:autoSpaceDE/>
        <w:autoSpaceDN/>
        <w:adjustRightInd/>
        <w:spacing w:line="259" w:lineRule="auto"/>
        <w:ind w:left="270" w:hanging="270"/>
        <w:contextualSpacing/>
        <w:rPr>
          <w:rFonts w:asciiTheme="minorHAnsi" w:hAnsiTheme="minorHAnsi"/>
          <w:b/>
          <w:color w:val="2E74B5"/>
          <w:sz w:val="28"/>
          <w:szCs w:val="28"/>
          <w:u w:val="single"/>
        </w:rPr>
      </w:pPr>
      <w:r w:rsidRPr="00E62B57">
        <w:rPr>
          <w:rFonts w:asciiTheme="minorHAnsi" w:hAnsiTheme="minorHAnsi"/>
          <w:b/>
          <w:color w:val="2E74B5"/>
          <w:sz w:val="28"/>
          <w:szCs w:val="28"/>
          <w:u w:val="single"/>
        </w:rPr>
        <w:t>Procedure:</w:t>
      </w:r>
    </w:p>
    <w:p w14:paraId="7F0DAA33" w14:textId="3558469D" w:rsidR="00E83F72" w:rsidRPr="0054654D" w:rsidRDefault="00E62B57" w:rsidP="008D7575">
      <w:pPr>
        <w:pStyle w:val="ListParagraph"/>
        <w:widowControl/>
        <w:autoSpaceDE/>
        <w:autoSpaceDN/>
        <w:adjustRightInd/>
        <w:spacing w:line="259" w:lineRule="auto"/>
        <w:ind w:left="270" w:firstLine="0"/>
        <w:contextualSpacing/>
        <w:rPr>
          <w:rFonts w:asciiTheme="minorHAnsi" w:hAnsiTheme="minorHAnsi"/>
          <w:color w:val="FF0000"/>
          <w:sz w:val="22"/>
          <w:szCs w:val="22"/>
        </w:rPr>
      </w:pPr>
      <w:r w:rsidRPr="00A144AB">
        <w:rPr>
          <w:rFonts w:asciiTheme="minorHAnsi" w:hAnsiTheme="minorHAnsi"/>
          <w:sz w:val="22"/>
          <w:szCs w:val="22"/>
        </w:rPr>
        <w:t xml:space="preserve">The Feasibility Assessment is an ongoing </w:t>
      </w:r>
      <w:r w:rsidR="00E83F72">
        <w:rPr>
          <w:rFonts w:asciiTheme="minorHAnsi" w:hAnsiTheme="minorHAnsi"/>
          <w:sz w:val="22"/>
          <w:szCs w:val="22"/>
        </w:rPr>
        <w:t xml:space="preserve">two-part process </w:t>
      </w:r>
      <w:r w:rsidR="00E83F72" w:rsidRPr="00FA09EC">
        <w:rPr>
          <w:rFonts w:asciiTheme="minorHAnsi" w:hAnsiTheme="minorHAnsi"/>
          <w:sz w:val="22"/>
          <w:szCs w:val="22"/>
          <w:highlight w:val="yellow"/>
        </w:rPr>
        <w:t>that captures information needed by EU</w:t>
      </w:r>
      <w:r w:rsidR="00E83F72">
        <w:rPr>
          <w:rFonts w:asciiTheme="minorHAnsi" w:hAnsiTheme="minorHAnsi"/>
          <w:sz w:val="22"/>
          <w:szCs w:val="22"/>
          <w:highlight w:val="yellow"/>
        </w:rPr>
        <w:t xml:space="preserve">.  This process </w:t>
      </w:r>
      <w:r w:rsidR="000D2083">
        <w:rPr>
          <w:rFonts w:asciiTheme="minorHAnsi" w:hAnsiTheme="minorHAnsi"/>
          <w:sz w:val="22"/>
          <w:szCs w:val="22"/>
          <w:highlight w:val="yellow"/>
        </w:rPr>
        <w:t>should</w:t>
      </w:r>
      <w:r w:rsidR="00E83F72">
        <w:rPr>
          <w:rFonts w:asciiTheme="minorHAnsi" w:hAnsiTheme="minorHAnsi"/>
          <w:sz w:val="22"/>
          <w:szCs w:val="22"/>
          <w:highlight w:val="yellow"/>
        </w:rPr>
        <w:t xml:space="preserve"> be completed </w:t>
      </w:r>
      <w:r w:rsidR="00421D71">
        <w:rPr>
          <w:rFonts w:asciiTheme="minorHAnsi" w:hAnsiTheme="minorHAnsi"/>
          <w:sz w:val="22"/>
          <w:szCs w:val="22"/>
          <w:highlight w:val="yellow"/>
        </w:rPr>
        <w:t xml:space="preserve">by the department </w:t>
      </w:r>
      <w:r w:rsidR="004F273B" w:rsidRPr="004F273B">
        <w:rPr>
          <w:rFonts w:asciiTheme="minorHAnsi" w:hAnsiTheme="minorHAnsi"/>
          <w:color w:val="FF0000"/>
          <w:sz w:val="22"/>
          <w:szCs w:val="22"/>
          <w:highlight w:val="yellow"/>
        </w:rPr>
        <w:t>prior</w:t>
      </w:r>
      <w:r w:rsidR="004F273B">
        <w:rPr>
          <w:rFonts w:asciiTheme="minorHAnsi" w:hAnsiTheme="minorHAnsi"/>
          <w:sz w:val="22"/>
          <w:szCs w:val="22"/>
          <w:highlight w:val="yellow"/>
        </w:rPr>
        <w:t xml:space="preserve"> to</w:t>
      </w:r>
      <w:r w:rsidR="00E83F72">
        <w:rPr>
          <w:rFonts w:asciiTheme="minorHAnsi" w:hAnsiTheme="minorHAnsi"/>
          <w:sz w:val="22"/>
          <w:szCs w:val="22"/>
          <w:highlight w:val="yellow"/>
        </w:rPr>
        <w:t xml:space="preserve"> both the </w:t>
      </w:r>
      <w:r w:rsidR="00E83F72">
        <w:rPr>
          <w:rFonts w:asciiTheme="minorHAnsi" w:hAnsiTheme="minorHAnsi"/>
          <w:color w:val="FF0000"/>
          <w:sz w:val="22"/>
          <w:szCs w:val="22"/>
        </w:rPr>
        <w:t>i</w:t>
      </w:r>
      <w:r w:rsidR="00E83F72" w:rsidRPr="0054654D">
        <w:rPr>
          <w:rFonts w:asciiTheme="minorHAnsi" w:hAnsiTheme="minorHAnsi"/>
          <w:color w:val="FF0000"/>
          <w:sz w:val="22"/>
          <w:szCs w:val="22"/>
        </w:rPr>
        <w:t xml:space="preserve">nitial </w:t>
      </w:r>
      <w:r w:rsidR="004F273B">
        <w:rPr>
          <w:rFonts w:asciiTheme="minorHAnsi" w:hAnsiTheme="minorHAnsi"/>
          <w:color w:val="FF0000"/>
          <w:sz w:val="22"/>
          <w:szCs w:val="22"/>
        </w:rPr>
        <w:t xml:space="preserve">review </w:t>
      </w:r>
      <w:r w:rsidR="00E83F72" w:rsidRPr="0054654D">
        <w:rPr>
          <w:rFonts w:asciiTheme="minorHAnsi" w:hAnsiTheme="minorHAnsi"/>
          <w:color w:val="FF0000"/>
          <w:sz w:val="22"/>
          <w:szCs w:val="22"/>
        </w:rPr>
        <w:t xml:space="preserve">and </w:t>
      </w:r>
      <w:r w:rsidR="004F273B">
        <w:rPr>
          <w:rFonts w:asciiTheme="minorHAnsi" w:hAnsiTheme="minorHAnsi"/>
          <w:color w:val="FF0000"/>
          <w:sz w:val="22"/>
          <w:szCs w:val="22"/>
        </w:rPr>
        <w:t xml:space="preserve">each subsequent </w:t>
      </w:r>
      <w:r w:rsidR="00E83F72" w:rsidRPr="0054654D">
        <w:rPr>
          <w:rFonts w:asciiTheme="minorHAnsi" w:hAnsiTheme="minorHAnsi"/>
          <w:color w:val="FF0000"/>
          <w:sz w:val="22"/>
          <w:szCs w:val="22"/>
        </w:rPr>
        <w:t>continuing review</w:t>
      </w:r>
      <w:r w:rsidR="00E83F72">
        <w:rPr>
          <w:rFonts w:asciiTheme="minorHAnsi" w:hAnsiTheme="minorHAnsi"/>
          <w:color w:val="FF0000"/>
          <w:sz w:val="22"/>
          <w:szCs w:val="22"/>
        </w:rPr>
        <w:t xml:space="preserve"> of the </w:t>
      </w:r>
      <w:r w:rsidR="008D7575">
        <w:rPr>
          <w:rFonts w:asciiTheme="minorHAnsi" w:hAnsiTheme="minorHAnsi"/>
          <w:color w:val="FF0000"/>
          <w:sz w:val="22"/>
          <w:szCs w:val="22"/>
        </w:rPr>
        <w:t>Institutional Review Board (IRB).</w:t>
      </w:r>
    </w:p>
    <w:p w14:paraId="4A47606F" w14:textId="77777777" w:rsidR="00A144AB" w:rsidRPr="00A144AB" w:rsidRDefault="00A144AB" w:rsidP="008D7575">
      <w:pPr>
        <w:pStyle w:val="ListParagraph"/>
        <w:widowControl/>
        <w:autoSpaceDE/>
        <w:autoSpaceDN/>
        <w:adjustRightInd/>
        <w:spacing w:line="259" w:lineRule="auto"/>
        <w:ind w:left="360" w:hanging="90"/>
        <w:contextualSpacing/>
        <w:rPr>
          <w:rFonts w:asciiTheme="minorHAnsi" w:hAnsiTheme="minorHAnsi"/>
          <w:sz w:val="22"/>
          <w:szCs w:val="22"/>
        </w:rPr>
      </w:pPr>
    </w:p>
    <w:p w14:paraId="2F4B708C" w14:textId="77777777" w:rsidR="00A144AB" w:rsidRDefault="00D5626C" w:rsidP="008D7575">
      <w:pPr>
        <w:pStyle w:val="ListParagraph"/>
        <w:widowControl/>
        <w:autoSpaceDE/>
        <w:autoSpaceDN/>
        <w:adjustRightInd/>
        <w:spacing w:line="259" w:lineRule="auto"/>
        <w:ind w:left="270" w:firstLine="0"/>
        <w:contextualSpacing/>
        <w:rPr>
          <w:rFonts w:asciiTheme="minorHAnsi" w:hAnsiTheme="minorHAnsi"/>
          <w:sz w:val="22"/>
          <w:szCs w:val="22"/>
        </w:rPr>
      </w:pPr>
      <w:r>
        <w:rPr>
          <w:rFonts w:asciiTheme="minorHAnsi" w:hAnsiTheme="minorHAnsi"/>
          <w:b/>
          <w:i/>
          <w:sz w:val="22"/>
          <w:szCs w:val="22"/>
        </w:rPr>
        <w:t>5</w:t>
      </w:r>
      <w:r w:rsidR="00AF64D5">
        <w:rPr>
          <w:rFonts w:asciiTheme="minorHAnsi" w:hAnsiTheme="minorHAnsi"/>
          <w:b/>
          <w:i/>
          <w:sz w:val="22"/>
          <w:szCs w:val="22"/>
        </w:rPr>
        <w:t>.1</w:t>
      </w:r>
      <w:r>
        <w:rPr>
          <w:rFonts w:asciiTheme="minorHAnsi" w:hAnsiTheme="minorHAnsi"/>
          <w:b/>
          <w:i/>
          <w:sz w:val="22"/>
          <w:szCs w:val="22"/>
        </w:rPr>
        <w:t xml:space="preserve">:  </w:t>
      </w:r>
      <w:r w:rsidR="00A144AB" w:rsidRPr="002A15D5">
        <w:rPr>
          <w:rFonts w:asciiTheme="minorHAnsi" w:hAnsiTheme="minorHAnsi"/>
          <w:b/>
          <w:i/>
          <w:sz w:val="22"/>
          <w:szCs w:val="22"/>
        </w:rPr>
        <w:t>Part 1</w:t>
      </w:r>
      <w:r w:rsidR="00A144AB">
        <w:rPr>
          <w:rFonts w:asciiTheme="minorHAnsi" w:hAnsiTheme="minorHAnsi"/>
          <w:sz w:val="22"/>
          <w:szCs w:val="22"/>
        </w:rPr>
        <w:t xml:space="preserve"> focuses on assessing the number of eligible participants </w:t>
      </w:r>
      <w:r w:rsidR="00A144AB" w:rsidRPr="00A144AB">
        <w:rPr>
          <w:sz w:val="22"/>
          <w:szCs w:val="22"/>
        </w:rPr>
        <w:t xml:space="preserve">available for recruitment within EU.  </w:t>
      </w:r>
    </w:p>
    <w:p w14:paraId="5261E617" w14:textId="773A6DC2" w:rsidR="004F273B" w:rsidRDefault="00E0567C" w:rsidP="008D7575">
      <w:pPr>
        <w:pStyle w:val="ListParagraph"/>
        <w:widowControl/>
        <w:autoSpaceDE/>
        <w:autoSpaceDN/>
        <w:adjustRightInd/>
        <w:spacing w:line="259" w:lineRule="auto"/>
        <w:ind w:left="270" w:firstLine="0"/>
        <w:contextualSpacing/>
        <w:rPr>
          <w:rFonts w:asciiTheme="minorHAnsi" w:hAnsiTheme="minorHAnsi"/>
          <w:i/>
          <w:sz w:val="22"/>
          <w:szCs w:val="22"/>
          <w:highlight w:val="yellow"/>
        </w:rPr>
      </w:pPr>
      <w:r>
        <w:rPr>
          <w:rFonts w:asciiTheme="minorHAnsi" w:hAnsiTheme="minorHAnsi"/>
          <w:sz w:val="22"/>
          <w:szCs w:val="22"/>
        </w:rPr>
        <w:t xml:space="preserve">To obtain the number of potentially eligible participants for the study, </w:t>
      </w:r>
      <w:r w:rsidRPr="00E0567C">
        <w:rPr>
          <w:rFonts w:asciiTheme="minorHAnsi" w:hAnsiTheme="minorHAnsi"/>
          <w:i/>
          <w:sz w:val="22"/>
          <w:szCs w:val="22"/>
          <w:highlight w:val="yellow"/>
        </w:rPr>
        <w:t xml:space="preserve">a query of the electronic medical record (EMR) </w:t>
      </w:r>
      <w:r w:rsidR="004F273B">
        <w:rPr>
          <w:rFonts w:asciiTheme="minorHAnsi" w:hAnsiTheme="minorHAnsi"/>
          <w:i/>
          <w:sz w:val="22"/>
          <w:szCs w:val="22"/>
          <w:highlight w:val="yellow"/>
        </w:rPr>
        <w:t>may be</w:t>
      </w:r>
      <w:r w:rsidRPr="00E0567C">
        <w:rPr>
          <w:rFonts w:asciiTheme="minorHAnsi" w:hAnsiTheme="minorHAnsi"/>
          <w:i/>
          <w:sz w:val="22"/>
          <w:szCs w:val="22"/>
          <w:highlight w:val="yellow"/>
        </w:rPr>
        <w:t xml:space="preserve"> conducted through</w:t>
      </w:r>
      <w:r w:rsidR="004F273B">
        <w:rPr>
          <w:rFonts w:asciiTheme="minorHAnsi" w:hAnsiTheme="minorHAnsi"/>
          <w:i/>
          <w:sz w:val="22"/>
          <w:szCs w:val="22"/>
          <w:highlight w:val="yellow"/>
        </w:rPr>
        <w:t>:</w:t>
      </w:r>
    </w:p>
    <w:p w14:paraId="17D1D300" w14:textId="72ECDBA5" w:rsidR="004F273B" w:rsidRDefault="00E0567C" w:rsidP="004F273B">
      <w:pPr>
        <w:pStyle w:val="ListParagraph"/>
        <w:widowControl/>
        <w:numPr>
          <w:ilvl w:val="0"/>
          <w:numId w:val="18"/>
        </w:numPr>
        <w:autoSpaceDE/>
        <w:autoSpaceDN/>
        <w:adjustRightInd/>
        <w:spacing w:line="259" w:lineRule="auto"/>
        <w:contextualSpacing/>
        <w:rPr>
          <w:rFonts w:asciiTheme="minorHAnsi" w:hAnsiTheme="minorHAnsi"/>
          <w:i/>
          <w:sz w:val="22"/>
          <w:szCs w:val="22"/>
        </w:rPr>
      </w:pPr>
      <w:r w:rsidRPr="00FA09EC">
        <w:rPr>
          <w:rFonts w:asciiTheme="minorHAnsi" w:hAnsiTheme="minorHAnsi"/>
          <w:i/>
          <w:color w:val="C00000"/>
          <w:sz w:val="22"/>
          <w:szCs w:val="22"/>
          <w:highlight w:val="yellow"/>
        </w:rPr>
        <w:t>TriNetX</w:t>
      </w:r>
      <w:r w:rsidRPr="00E0567C">
        <w:rPr>
          <w:rFonts w:asciiTheme="minorHAnsi" w:hAnsiTheme="minorHAnsi"/>
          <w:i/>
          <w:sz w:val="22"/>
          <w:szCs w:val="22"/>
          <w:highlight w:val="yellow"/>
        </w:rPr>
        <w:t xml:space="preserve"> software based upon information provided </w:t>
      </w:r>
      <w:r w:rsidR="002A15D5">
        <w:rPr>
          <w:rFonts w:asciiTheme="minorHAnsi" w:hAnsiTheme="minorHAnsi"/>
          <w:i/>
          <w:sz w:val="22"/>
          <w:szCs w:val="22"/>
          <w:highlight w:val="yellow"/>
        </w:rPr>
        <w:t>in part 1 by the Requester</w:t>
      </w:r>
      <w:r w:rsidR="004F273B">
        <w:rPr>
          <w:rFonts w:asciiTheme="minorHAnsi" w:hAnsiTheme="minorHAnsi"/>
          <w:i/>
          <w:sz w:val="22"/>
          <w:szCs w:val="22"/>
        </w:rPr>
        <w:t xml:space="preserve"> </w:t>
      </w:r>
    </w:p>
    <w:p w14:paraId="5FB5B9DA" w14:textId="49739A22" w:rsidR="004F273B" w:rsidRDefault="004F273B" w:rsidP="004F273B">
      <w:pPr>
        <w:pStyle w:val="ListParagraph"/>
        <w:widowControl/>
        <w:numPr>
          <w:ilvl w:val="0"/>
          <w:numId w:val="18"/>
        </w:numPr>
        <w:autoSpaceDE/>
        <w:autoSpaceDN/>
        <w:adjustRightInd/>
        <w:spacing w:line="259" w:lineRule="auto"/>
        <w:contextualSpacing/>
        <w:rPr>
          <w:rFonts w:asciiTheme="minorHAnsi" w:hAnsiTheme="minorHAnsi"/>
          <w:i/>
          <w:sz w:val="22"/>
          <w:szCs w:val="22"/>
        </w:rPr>
      </w:pPr>
      <w:r w:rsidRPr="004F273B">
        <w:rPr>
          <w:rFonts w:asciiTheme="minorHAnsi" w:hAnsiTheme="minorHAnsi"/>
          <w:i/>
          <w:sz w:val="22"/>
          <w:szCs w:val="22"/>
        </w:rPr>
        <w:t>Emory</w:t>
      </w:r>
      <w:r>
        <w:rPr>
          <w:rFonts w:asciiTheme="minorHAnsi" w:hAnsiTheme="minorHAnsi"/>
          <w:i/>
          <w:color w:val="C00000"/>
          <w:sz w:val="22"/>
          <w:szCs w:val="22"/>
        </w:rPr>
        <w:t xml:space="preserve"> </w:t>
      </w:r>
      <w:hyperlink r:id="rId7" w:history="1">
        <w:r w:rsidRPr="004F273B">
          <w:rPr>
            <w:rStyle w:val="Hyperlink"/>
            <w:rFonts w:asciiTheme="minorHAnsi" w:hAnsiTheme="minorHAnsi"/>
            <w:i/>
            <w:sz w:val="22"/>
            <w:szCs w:val="22"/>
          </w:rPr>
          <w:t>I2B2</w:t>
        </w:r>
      </w:hyperlink>
      <w:r>
        <w:rPr>
          <w:rFonts w:asciiTheme="minorHAnsi" w:hAnsiTheme="minorHAnsi"/>
          <w:i/>
          <w:sz w:val="22"/>
          <w:szCs w:val="22"/>
        </w:rPr>
        <w:t xml:space="preserve"> query of Emory Healthcare electronic health record data </w:t>
      </w:r>
    </w:p>
    <w:p w14:paraId="7C2965C0" w14:textId="62C7E6D9" w:rsidR="00E0567C" w:rsidRPr="00E0567C" w:rsidRDefault="00421D71" w:rsidP="004F273B">
      <w:pPr>
        <w:pStyle w:val="ListParagraph"/>
        <w:widowControl/>
        <w:numPr>
          <w:ilvl w:val="0"/>
          <w:numId w:val="18"/>
        </w:numPr>
        <w:autoSpaceDE/>
        <w:autoSpaceDN/>
        <w:adjustRightInd/>
        <w:spacing w:line="259" w:lineRule="auto"/>
        <w:contextualSpacing/>
        <w:rPr>
          <w:rFonts w:asciiTheme="minorHAnsi" w:hAnsiTheme="minorHAnsi"/>
          <w:i/>
          <w:sz w:val="22"/>
          <w:szCs w:val="22"/>
        </w:rPr>
      </w:pPr>
      <w:r>
        <w:rPr>
          <w:rFonts w:asciiTheme="minorHAnsi" w:hAnsiTheme="minorHAnsi"/>
          <w:i/>
          <w:sz w:val="22"/>
          <w:szCs w:val="22"/>
        </w:rPr>
        <w:t>EeMR until EPIC implementation (planned October 2022)</w:t>
      </w:r>
    </w:p>
    <w:p w14:paraId="5B316E1C" w14:textId="77777777" w:rsidR="00E0567C" w:rsidRDefault="00E0567C" w:rsidP="008D7575">
      <w:pPr>
        <w:pStyle w:val="ListParagraph"/>
        <w:widowControl/>
        <w:autoSpaceDE/>
        <w:autoSpaceDN/>
        <w:adjustRightInd/>
        <w:spacing w:line="259" w:lineRule="auto"/>
        <w:ind w:left="270" w:firstLine="0"/>
        <w:contextualSpacing/>
        <w:rPr>
          <w:rFonts w:asciiTheme="minorHAnsi" w:hAnsiTheme="minorHAnsi"/>
          <w:sz w:val="22"/>
          <w:szCs w:val="22"/>
        </w:rPr>
      </w:pPr>
    </w:p>
    <w:p w14:paraId="125A0FA7" w14:textId="644AD68B" w:rsidR="005C4A8B" w:rsidRDefault="00D5626C" w:rsidP="008D7575">
      <w:pPr>
        <w:pStyle w:val="ListParagraph"/>
        <w:widowControl/>
        <w:autoSpaceDE/>
        <w:autoSpaceDN/>
        <w:adjustRightInd/>
        <w:spacing w:line="259" w:lineRule="auto"/>
        <w:ind w:left="270" w:firstLine="0"/>
        <w:contextualSpacing/>
        <w:rPr>
          <w:rFonts w:asciiTheme="minorHAnsi" w:hAnsiTheme="minorHAnsi"/>
          <w:sz w:val="22"/>
          <w:szCs w:val="22"/>
        </w:rPr>
      </w:pPr>
      <w:r>
        <w:rPr>
          <w:rFonts w:asciiTheme="minorHAnsi" w:hAnsiTheme="minorHAnsi"/>
          <w:b/>
          <w:i/>
          <w:sz w:val="22"/>
          <w:szCs w:val="22"/>
        </w:rPr>
        <w:t>5</w:t>
      </w:r>
      <w:r w:rsidR="00AF64D5">
        <w:rPr>
          <w:rFonts w:asciiTheme="minorHAnsi" w:hAnsiTheme="minorHAnsi"/>
          <w:b/>
          <w:i/>
          <w:sz w:val="22"/>
          <w:szCs w:val="22"/>
        </w:rPr>
        <w:t xml:space="preserve">.2 </w:t>
      </w:r>
      <w:r w:rsidR="002A15D5" w:rsidRPr="002A15D5">
        <w:rPr>
          <w:rFonts w:asciiTheme="minorHAnsi" w:hAnsiTheme="minorHAnsi"/>
          <w:b/>
          <w:i/>
          <w:sz w:val="22"/>
          <w:szCs w:val="22"/>
        </w:rPr>
        <w:t>Part 2</w:t>
      </w:r>
      <w:r w:rsidR="002A15D5">
        <w:rPr>
          <w:rFonts w:asciiTheme="minorHAnsi" w:hAnsiTheme="minorHAnsi"/>
          <w:i/>
          <w:sz w:val="22"/>
          <w:szCs w:val="22"/>
        </w:rPr>
        <w:t xml:space="preserve"> </w:t>
      </w:r>
      <w:r w:rsidR="002A15D5">
        <w:rPr>
          <w:rFonts w:asciiTheme="minorHAnsi" w:hAnsiTheme="minorHAnsi"/>
          <w:sz w:val="22"/>
          <w:szCs w:val="22"/>
        </w:rPr>
        <w:t xml:space="preserve">focuses on the study start-up and captures information regarding </w:t>
      </w:r>
      <w:r w:rsidR="00632A71" w:rsidRPr="00632A71">
        <w:rPr>
          <w:sz w:val="22"/>
          <w:szCs w:val="22"/>
        </w:rPr>
        <w:t>key inclusion and exclusion criteria, site logistics</w:t>
      </w:r>
      <w:r w:rsidR="00632A71">
        <w:rPr>
          <w:sz w:val="22"/>
          <w:szCs w:val="22"/>
        </w:rPr>
        <w:t>,</w:t>
      </w:r>
      <w:r w:rsidR="00632A71" w:rsidRPr="00632A71">
        <w:rPr>
          <w:sz w:val="22"/>
          <w:szCs w:val="22"/>
        </w:rPr>
        <w:t xml:space="preserve"> contractual/financial and </w:t>
      </w:r>
      <w:r w:rsidR="00632A71">
        <w:rPr>
          <w:sz w:val="22"/>
          <w:szCs w:val="22"/>
        </w:rPr>
        <w:t xml:space="preserve">additional EU resources </w:t>
      </w:r>
      <w:r w:rsidR="00632A71" w:rsidRPr="00632A71">
        <w:rPr>
          <w:sz w:val="22"/>
          <w:szCs w:val="22"/>
        </w:rPr>
        <w:t xml:space="preserve">and ancillary services </w:t>
      </w:r>
      <w:r w:rsidR="00632A71">
        <w:rPr>
          <w:sz w:val="22"/>
          <w:szCs w:val="22"/>
        </w:rPr>
        <w:t xml:space="preserve">needed </w:t>
      </w:r>
      <w:r w:rsidR="00632A71" w:rsidRPr="00632A71">
        <w:rPr>
          <w:sz w:val="22"/>
          <w:szCs w:val="22"/>
        </w:rPr>
        <w:t xml:space="preserve">after the study start-up process </w:t>
      </w:r>
      <w:r w:rsidR="005C4A8B">
        <w:rPr>
          <w:rFonts w:asciiTheme="minorHAnsi" w:hAnsiTheme="minorHAnsi"/>
          <w:sz w:val="22"/>
          <w:szCs w:val="22"/>
        </w:rPr>
        <w:t>to conduct the study.  This is necessary to continue reviewing feasibility within the department/division, and capture important information required to conduct a trial at EU.</w:t>
      </w:r>
    </w:p>
    <w:p w14:paraId="2417273A" w14:textId="77777777" w:rsidR="005C4A8B" w:rsidRDefault="005C4A8B" w:rsidP="008D7575">
      <w:pPr>
        <w:pStyle w:val="ListParagraph"/>
        <w:widowControl/>
        <w:autoSpaceDE/>
        <w:autoSpaceDN/>
        <w:adjustRightInd/>
        <w:spacing w:line="259" w:lineRule="auto"/>
        <w:ind w:left="270" w:firstLine="0"/>
        <w:contextualSpacing/>
        <w:rPr>
          <w:rFonts w:asciiTheme="minorHAnsi" w:hAnsiTheme="minorHAnsi"/>
          <w:sz w:val="22"/>
          <w:szCs w:val="22"/>
        </w:rPr>
      </w:pPr>
    </w:p>
    <w:p w14:paraId="2748A055" w14:textId="7D1B5E8B" w:rsidR="005C4A8B" w:rsidRPr="00D5626C" w:rsidRDefault="00421D71" w:rsidP="008D7575">
      <w:pPr>
        <w:pStyle w:val="ListParagraph"/>
        <w:widowControl/>
        <w:autoSpaceDE/>
        <w:autoSpaceDN/>
        <w:adjustRightInd/>
        <w:spacing w:line="259" w:lineRule="auto"/>
        <w:ind w:left="360" w:hanging="90"/>
        <w:contextualSpacing/>
        <w:rPr>
          <w:rFonts w:asciiTheme="minorHAnsi" w:hAnsiTheme="minorHAnsi"/>
          <w:b/>
          <w:sz w:val="22"/>
          <w:szCs w:val="22"/>
          <w:u w:val="single"/>
        </w:rPr>
      </w:pPr>
      <w:r>
        <w:rPr>
          <w:rFonts w:asciiTheme="minorHAnsi" w:hAnsiTheme="minorHAnsi"/>
          <w:b/>
          <w:sz w:val="22"/>
          <w:szCs w:val="22"/>
          <w:u w:val="single"/>
        </w:rPr>
        <w:t>If using TriNetX:</w:t>
      </w:r>
    </w:p>
    <w:p w14:paraId="283BA290" w14:textId="0AADFAC0" w:rsidR="005C4A8B" w:rsidRPr="00632A71" w:rsidRDefault="00421D71" w:rsidP="008D7575">
      <w:pPr>
        <w:pStyle w:val="ListParagraph"/>
        <w:widowControl/>
        <w:autoSpaceDE/>
        <w:autoSpaceDN/>
        <w:adjustRightInd/>
        <w:spacing w:line="259" w:lineRule="auto"/>
        <w:ind w:left="270" w:firstLine="0"/>
        <w:contextualSpacing/>
        <w:rPr>
          <w:rFonts w:asciiTheme="minorHAnsi" w:hAnsiTheme="minorHAnsi"/>
          <w:sz w:val="22"/>
          <w:szCs w:val="22"/>
        </w:rPr>
      </w:pPr>
      <w:r>
        <w:rPr>
          <w:rFonts w:asciiTheme="minorHAnsi" w:hAnsiTheme="minorHAnsi"/>
          <w:sz w:val="22"/>
          <w:szCs w:val="22"/>
        </w:rPr>
        <w:t>T</w:t>
      </w:r>
      <w:r w:rsidR="00632A71">
        <w:rPr>
          <w:rFonts w:asciiTheme="minorHAnsi" w:hAnsiTheme="minorHAnsi"/>
          <w:sz w:val="22"/>
          <w:szCs w:val="22"/>
        </w:rPr>
        <w:t xml:space="preserve">he Requester </w:t>
      </w:r>
      <w:r>
        <w:rPr>
          <w:rFonts w:asciiTheme="minorHAnsi" w:hAnsiTheme="minorHAnsi"/>
          <w:sz w:val="22"/>
          <w:szCs w:val="22"/>
        </w:rPr>
        <w:t xml:space="preserve">should </w:t>
      </w:r>
      <w:r w:rsidR="00632A71">
        <w:rPr>
          <w:rFonts w:asciiTheme="minorHAnsi" w:hAnsiTheme="minorHAnsi"/>
          <w:sz w:val="22"/>
          <w:szCs w:val="22"/>
        </w:rPr>
        <w:t>populate the necessary information into the TriNetX system.</w:t>
      </w:r>
    </w:p>
    <w:p w14:paraId="12D8454F" w14:textId="77777777" w:rsidR="00632A71" w:rsidRDefault="00A86C32" w:rsidP="008D7575">
      <w:pPr>
        <w:pStyle w:val="ListParagraph"/>
        <w:widowControl/>
        <w:shd w:val="clear" w:color="auto" w:fill="FFFFFF" w:themeFill="background1"/>
        <w:autoSpaceDE/>
        <w:autoSpaceDN/>
        <w:adjustRightInd/>
        <w:spacing w:line="259" w:lineRule="auto"/>
        <w:ind w:left="270" w:firstLine="0"/>
        <w:contextualSpacing/>
        <w:rPr>
          <w:rFonts w:asciiTheme="minorHAnsi" w:hAnsiTheme="minorHAnsi"/>
          <w:sz w:val="22"/>
          <w:szCs w:val="22"/>
        </w:rPr>
      </w:pPr>
      <w:r w:rsidRPr="00A86C32">
        <w:rPr>
          <w:rFonts w:asciiTheme="minorHAnsi" w:hAnsiTheme="minorHAnsi"/>
          <w:sz w:val="22"/>
          <w:szCs w:val="22"/>
          <w:highlight w:val="yellow"/>
        </w:rPr>
        <w:t xml:space="preserve">A member of the </w:t>
      </w:r>
      <w:r>
        <w:rPr>
          <w:rFonts w:asciiTheme="minorHAnsi" w:hAnsiTheme="minorHAnsi"/>
          <w:sz w:val="22"/>
          <w:szCs w:val="22"/>
          <w:highlight w:val="yellow"/>
        </w:rPr>
        <w:t>[department/division designee]</w:t>
      </w:r>
      <w:r w:rsidRPr="00A86C32">
        <w:rPr>
          <w:rFonts w:asciiTheme="minorHAnsi" w:hAnsiTheme="minorHAnsi"/>
          <w:sz w:val="22"/>
          <w:szCs w:val="22"/>
          <w:highlight w:val="yellow"/>
        </w:rPr>
        <w:t xml:space="preserve"> will enter information into the TriNetX s</w:t>
      </w:r>
      <w:r w:rsidR="0054654D">
        <w:rPr>
          <w:rFonts w:asciiTheme="minorHAnsi" w:hAnsiTheme="minorHAnsi"/>
          <w:sz w:val="22"/>
          <w:szCs w:val="22"/>
          <w:highlight w:val="yellow"/>
        </w:rPr>
        <w:t xml:space="preserve">ystem to obtain the number of </w:t>
      </w:r>
      <w:r w:rsidRPr="00A86C32">
        <w:rPr>
          <w:rFonts w:asciiTheme="minorHAnsi" w:hAnsiTheme="minorHAnsi"/>
          <w:sz w:val="22"/>
          <w:szCs w:val="22"/>
          <w:highlight w:val="yellow"/>
        </w:rPr>
        <w:t>eligible participants within EU for the research trial.</w:t>
      </w:r>
    </w:p>
    <w:p w14:paraId="0DE796C2" w14:textId="77777777" w:rsidR="00E0567C" w:rsidRPr="00FA09EC" w:rsidRDefault="00E0567C" w:rsidP="008D7575">
      <w:pPr>
        <w:pStyle w:val="ListParagraph"/>
        <w:widowControl/>
        <w:shd w:val="clear" w:color="auto" w:fill="FFFFFF" w:themeFill="background1"/>
        <w:autoSpaceDE/>
        <w:autoSpaceDN/>
        <w:adjustRightInd/>
        <w:spacing w:line="259" w:lineRule="auto"/>
        <w:ind w:left="270" w:firstLine="0"/>
        <w:contextualSpacing/>
        <w:rPr>
          <w:rFonts w:asciiTheme="minorHAnsi" w:hAnsiTheme="minorHAnsi"/>
          <w:sz w:val="22"/>
          <w:szCs w:val="22"/>
          <w:highlight w:val="yellow"/>
        </w:rPr>
      </w:pPr>
    </w:p>
    <w:p w14:paraId="088F46A7" w14:textId="77777777" w:rsidR="00E0567C" w:rsidRDefault="00E0567C" w:rsidP="008D7575">
      <w:pPr>
        <w:pStyle w:val="ListParagraph"/>
        <w:widowControl/>
        <w:autoSpaceDE/>
        <w:autoSpaceDN/>
        <w:adjustRightInd/>
        <w:spacing w:line="259" w:lineRule="auto"/>
        <w:ind w:left="270" w:firstLine="0"/>
        <w:contextualSpacing/>
        <w:rPr>
          <w:sz w:val="22"/>
          <w:szCs w:val="22"/>
          <w:highlight w:val="yellow"/>
        </w:rPr>
      </w:pPr>
      <w:r w:rsidRPr="00FA09EC">
        <w:rPr>
          <w:rFonts w:asciiTheme="minorHAnsi" w:hAnsiTheme="minorHAnsi"/>
          <w:color w:val="C00000"/>
          <w:sz w:val="22"/>
          <w:szCs w:val="22"/>
          <w:highlight w:val="yellow"/>
        </w:rPr>
        <w:t>TriNet</w:t>
      </w:r>
      <w:r w:rsidR="00FA09EC" w:rsidRPr="00FA09EC">
        <w:rPr>
          <w:rFonts w:asciiTheme="minorHAnsi" w:hAnsiTheme="minorHAnsi"/>
          <w:color w:val="C00000"/>
          <w:sz w:val="22"/>
          <w:szCs w:val="22"/>
          <w:highlight w:val="yellow"/>
        </w:rPr>
        <w:t>X</w:t>
      </w:r>
      <w:r w:rsidRPr="00FA09EC">
        <w:rPr>
          <w:rFonts w:asciiTheme="minorHAnsi" w:hAnsiTheme="minorHAnsi"/>
          <w:sz w:val="22"/>
          <w:szCs w:val="22"/>
          <w:highlight w:val="yellow"/>
        </w:rPr>
        <w:t xml:space="preserve"> query results are provided to the Request</w:t>
      </w:r>
      <w:r w:rsidR="00A86C32">
        <w:rPr>
          <w:rFonts w:asciiTheme="minorHAnsi" w:hAnsiTheme="minorHAnsi"/>
          <w:sz w:val="22"/>
          <w:szCs w:val="22"/>
          <w:highlight w:val="yellow"/>
        </w:rPr>
        <w:t>e</w:t>
      </w:r>
      <w:r w:rsidRPr="00FA09EC">
        <w:rPr>
          <w:rFonts w:asciiTheme="minorHAnsi" w:hAnsiTheme="minorHAnsi"/>
          <w:sz w:val="22"/>
          <w:szCs w:val="22"/>
          <w:highlight w:val="yellow"/>
        </w:rPr>
        <w:t>r and study team within [insert # business days]; results include a query screenshot detailing outcomes from the EU</w:t>
      </w:r>
      <w:r w:rsidR="00FA09EC" w:rsidRPr="00FA09EC">
        <w:rPr>
          <w:rFonts w:asciiTheme="minorHAnsi" w:hAnsiTheme="minorHAnsi"/>
          <w:sz w:val="22"/>
          <w:szCs w:val="22"/>
          <w:highlight w:val="yellow"/>
        </w:rPr>
        <w:t xml:space="preserve"> database.  For a study to qualify as feasible, there must be 5 times the number of required participants available in the EU system</w:t>
      </w:r>
      <w:r w:rsidR="00A144AB">
        <w:rPr>
          <w:rFonts w:asciiTheme="minorHAnsi" w:hAnsiTheme="minorHAnsi"/>
          <w:sz w:val="22"/>
          <w:szCs w:val="22"/>
          <w:highlight w:val="yellow"/>
        </w:rPr>
        <w:t xml:space="preserve">s </w:t>
      </w:r>
      <w:r w:rsidR="00A144AB" w:rsidRPr="00A144AB">
        <w:rPr>
          <w:sz w:val="22"/>
          <w:szCs w:val="22"/>
          <w:highlight w:val="yellow"/>
        </w:rPr>
        <w:t>(5 x Anticipated Accrual at Local Site).</w:t>
      </w:r>
    </w:p>
    <w:p w14:paraId="7B9634A7" w14:textId="77777777" w:rsidR="00E83F72" w:rsidRPr="00FA09EC" w:rsidRDefault="00E83F72" w:rsidP="008D7575">
      <w:pPr>
        <w:pStyle w:val="ListParagraph"/>
        <w:widowControl/>
        <w:autoSpaceDE/>
        <w:autoSpaceDN/>
        <w:adjustRightInd/>
        <w:spacing w:line="259" w:lineRule="auto"/>
        <w:ind w:left="270" w:firstLine="0"/>
        <w:contextualSpacing/>
        <w:rPr>
          <w:rFonts w:asciiTheme="minorHAnsi" w:hAnsiTheme="minorHAnsi"/>
          <w:sz w:val="22"/>
          <w:szCs w:val="22"/>
          <w:highlight w:val="yellow"/>
        </w:rPr>
      </w:pPr>
    </w:p>
    <w:p w14:paraId="56E776BD" w14:textId="77777777" w:rsidR="00A144AB" w:rsidRDefault="00A144AB" w:rsidP="008D7575">
      <w:pPr>
        <w:pStyle w:val="ListParagraph"/>
        <w:widowControl/>
        <w:autoSpaceDE/>
        <w:autoSpaceDN/>
        <w:adjustRightInd/>
        <w:spacing w:line="259" w:lineRule="auto"/>
        <w:ind w:left="270" w:firstLine="0"/>
        <w:contextualSpacing/>
        <w:rPr>
          <w:rFonts w:asciiTheme="minorHAnsi" w:hAnsiTheme="minorHAnsi"/>
          <w:sz w:val="22"/>
          <w:szCs w:val="22"/>
        </w:rPr>
      </w:pPr>
      <w:r>
        <w:rPr>
          <w:rFonts w:asciiTheme="minorHAnsi" w:hAnsiTheme="minorHAnsi"/>
          <w:sz w:val="22"/>
          <w:szCs w:val="22"/>
        </w:rPr>
        <w:t xml:space="preserve">Email notifications from </w:t>
      </w:r>
      <w:r w:rsidR="00A86C32" w:rsidRPr="00A86C32">
        <w:rPr>
          <w:sz w:val="22"/>
          <w:szCs w:val="22"/>
          <w:highlight w:val="yellow"/>
        </w:rPr>
        <w:t xml:space="preserve">[department/division designee] </w:t>
      </w:r>
      <w:r>
        <w:rPr>
          <w:rFonts w:asciiTheme="minorHAnsi" w:hAnsiTheme="minorHAnsi"/>
          <w:sz w:val="22"/>
          <w:szCs w:val="22"/>
        </w:rPr>
        <w:t>alerts Requesters regar</w:t>
      </w:r>
      <w:r w:rsidR="00A86C32">
        <w:rPr>
          <w:rFonts w:asciiTheme="minorHAnsi" w:hAnsiTheme="minorHAnsi"/>
          <w:sz w:val="22"/>
          <w:szCs w:val="22"/>
        </w:rPr>
        <w:t xml:space="preserve">ding the outcome of </w:t>
      </w:r>
      <w:r>
        <w:rPr>
          <w:rFonts w:asciiTheme="minorHAnsi" w:hAnsiTheme="minorHAnsi"/>
          <w:sz w:val="22"/>
          <w:szCs w:val="22"/>
        </w:rPr>
        <w:t>review within [#</w:t>
      </w:r>
      <w:r w:rsidR="00A86C32">
        <w:rPr>
          <w:rFonts w:asciiTheme="minorHAnsi" w:hAnsiTheme="minorHAnsi"/>
          <w:sz w:val="22"/>
          <w:szCs w:val="22"/>
        </w:rPr>
        <w:t xml:space="preserve"> business days].</w:t>
      </w:r>
    </w:p>
    <w:p w14:paraId="08C31E0F" w14:textId="77777777" w:rsidR="00A86C32" w:rsidRPr="00A86C32" w:rsidRDefault="00A86C32" w:rsidP="008D7575">
      <w:pPr>
        <w:pStyle w:val="ListParagraph"/>
        <w:widowControl/>
        <w:numPr>
          <w:ilvl w:val="0"/>
          <w:numId w:val="13"/>
        </w:numPr>
        <w:autoSpaceDE/>
        <w:autoSpaceDN/>
        <w:adjustRightInd/>
        <w:spacing w:line="259" w:lineRule="auto"/>
        <w:ind w:left="630" w:hanging="270"/>
        <w:contextualSpacing/>
        <w:rPr>
          <w:rFonts w:asciiTheme="minorHAnsi" w:hAnsiTheme="minorHAnsi"/>
          <w:sz w:val="22"/>
          <w:szCs w:val="22"/>
        </w:rPr>
      </w:pPr>
      <w:r w:rsidRPr="00EB714A">
        <w:rPr>
          <w:rFonts w:asciiTheme="minorHAnsi" w:hAnsiTheme="minorHAnsi"/>
          <w:b/>
          <w:sz w:val="22"/>
          <w:szCs w:val="22"/>
        </w:rPr>
        <w:t>Feasible</w:t>
      </w:r>
      <w:r>
        <w:rPr>
          <w:rFonts w:asciiTheme="minorHAnsi" w:hAnsiTheme="minorHAnsi"/>
          <w:sz w:val="22"/>
          <w:szCs w:val="22"/>
        </w:rPr>
        <w:t xml:space="preserve"> (query returns </w:t>
      </w:r>
      <w:r w:rsidRPr="00A86C32">
        <w:rPr>
          <w:rFonts w:asciiTheme="minorHAnsi" w:hAnsiTheme="minorHAnsi"/>
          <w:sz w:val="22"/>
          <w:szCs w:val="22"/>
          <w:u w:val="single"/>
        </w:rPr>
        <w:t>&gt;</w:t>
      </w:r>
      <w:r>
        <w:rPr>
          <w:rFonts w:asciiTheme="minorHAnsi" w:hAnsiTheme="minorHAnsi"/>
          <w:sz w:val="22"/>
          <w:szCs w:val="22"/>
        </w:rPr>
        <w:t>5 times Anticipated Accrual at Local Site) for implementation which should prompt completion of</w:t>
      </w:r>
      <w:r w:rsidRPr="00A86C32">
        <w:rPr>
          <w:rFonts w:asciiTheme="minorHAnsi" w:hAnsiTheme="minorHAnsi"/>
          <w:i/>
          <w:sz w:val="22"/>
          <w:szCs w:val="22"/>
        </w:rPr>
        <w:t xml:space="preserve"> Part 2.</w:t>
      </w:r>
    </w:p>
    <w:p w14:paraId="4064E06B" w14:textId="77777777" w:rsidR="00A86C32" w:rsidRPr="00A86C32" w:rsidRDefault="00A86C32" w:rsidP="008D7575">
      <w:pPr>
        <w:pStyle w:val="ListParagraph"/>
        <w:widowControl/>
        <w:numPr>
          <w:ilvl w:val="0"/>
          <w:numId w:val="13"/>
        </w:numPr>
        <w:autoSpaceDE/>
        <w:autoSpaceDN/>
        <w:adjustRightInd/>
        <w:spacing w:line="259" w:lineRule="auto"/>
        <w:ind w:left="630" w:hanging="270"/>
        <w:contextualSpacing/>
        <w:rPr>
          <w:rFonts w:asciiTheme="minorHAnsi" w:hAnsiTheme="minorHAnsi"/>
          <w:sz w:val="22"/>
          <w:szCs w:val="22"/>
        </w:rPr>
      </w:pPr>
      <w:r w:rsidRPr="00EB714A">
        <w:rPr>
          <w:rFonts w:asciiTheme="minorHAnsi" w:hAnsiTheme="minorHAnsi"/>
          <w:b/>
          <w:sz w:val="22"/>
          <w:szCs w:val="22"/>
        </w:rPr>
        <w:t>Not feasible</w:t>
      </w:r>
      <w:r>
        <w:rPr>
          <w:rFonts w:asciiTheme="minorHAnsi" w:hAnsiTheme="minorHAnsi"/>
          <w:sz w:val="22"/>
          <w:szCs w:val="22"/>
        </w:rPr>
        <w:t xml:space="preserve"> (</w:t>
      </w:r>
      <w:r w:rsidRPr="00A86C32">
        <w:rPr>
          <w:sz w:val="22"/>
          <w:szCs w:val="22"/>
        </w:rPr>
        <w:t xml:space="preserve">query returns &lt; 5 times Anticipated Accrual at Local Site) </w:t>
      </w:r>
      <w:r>
        <w:rPr>
          <w:sz w:val="22"/>
          <w:szCs w:val="22"/>
        </w:rPr>
        <w:t>due to low number of eligible participants in the EU database.</w:t>
      </w:r>
    </w:p>
    <w:p w14:paraId="790240D5" w14:textId="77777777" w:rsidR="00A86C32" w:rsidRPr="00EB714A" w:rsidRDefault="00A86C32" w:rsidP="008D7575">
      <w:pPr>
        <w:pStyle w:val="ListParagraph"/>
        <w:widowControl/>
        <w:numPr>
          <w:ilvl w:val="0"/>
          <w:numId w:val="13"/>
        </w:numPr>
        <w:autoSpaceDE/>
        <w:autoSpaceDN/>
        <w:adjustRightInd/>
        <w:spacing w:line="259" w:lineRule="auto"/>
        <w:ind w:left="630" w:hanging="270"/>
        <w:contextualSpacing/>
        <w:rPr>
          <w:rFonts w:asciiTheme="minorHAnsi" w:hAnsiTheme="minorHAnsi"/>
          <w:sz w:val="22"/>
          <w:szCs w:val="22"/>
        </w:rPr>
      </w:pPr>
      <w:r w:rsidRPr="00EB714A">
        <w:rPr>
          <w:b/>
          <w:sz w:val="22"/>
          <w:szCs w:val="22"/>
        </w:rPr>
        <w:t>Exempt</w:t>
      </w:r>
      <w:r>
        <w:rPr>
          <w:sz w:val="22"/>
          <w:szCs w:val="22"/>
        </w:rPr>
        <w:t xml:space="preserve"> (</w:t>
      </w:r>
      <w:r w:rsidRPr="00A86C32">
        <w:rPr>
          <w:sz w:val="22"/>
          <w:szCs w:val="22"/>
        </w:rPr>
        <w:t xml:space="preserve">query returns &lt; 5 times Anticipated Accrual at Local Site) </w:t>
      </w:r>
      <w:r w:rsidR="00EB714A">
        <w:rPr>
          <w:sz w:val="22"/>
          <w:szCs w:val="22"/>
        </w:rPr>
        <w:t xml:space="preserve">due to special considerations including rare disease or specific patient population that cannot be queried.  Protocol exemptions will </w:t>
      </w:r>
      <w:r w:rsidR="00EB714A">
        <w:rPr>
          <w:sz w:val="22"/>
          <w:szCs w:val="22"/>
        </w:rPr>
        <w:lastRenderedPageBreak/>
        <w:t>be reviewed by the [insert role – should be based upon scientific expertise] and exemption notice will be sent when applicable.</w:t>
      </w:r>
    </w:p>
    <w:p w14:paraId="667E3505" w14:textId="77777777" w:rsidR="00EB714A" w:rsidRDefault="00EB714A" w:rsidP="008D7575">
      <w:pPr>
        <w:pStyle w:val="ListParagraph"/>
        <w:widowControl/>
        <w:autoSpaceDE/>
        <w:autoSpaceDN/>
        <w:adjustRightInd/>
        <w:spacing w:line="259" w:lineRule="auto"/>
        <w:ind w:left="270" w:firstLine="0"/>
        <w:contextualSpacing/>
        <w:rPr>
          <w:rFonts w:asciiTheme="minorHAnsi" w:hAnsiTheme="minorHAnsi"/>
          <w:sz w:val="22"/>
          <w:szCs w:val="22"/>
        </w:rPr>
      </w:pPr>
      <w:r>
        <w:rPr>
          <w:rFonts w:asciiTheme="minorHAnsi" w:hAnsiTheme="minorHAnsi"/>
          <w:sz w:val="22"/>
          <w:szCs w:val="22"/>
        </w:rPr>
        <w:t>Studies deemed Feasible or exempt in Part 1 should proceed to Part 2: Study Start-up Process in parallel with their IRB submissions.</w:t>
      </w:r>
    </w:p>
    <w:p w14:paraId="12C4F495" w14:textId="77777777" w:rsidR="00EB714A" w:rsidRDefault="00EB714A" w:rsidP="008D7575">
      <w:pPr>
        <w:pStyle w:val="ListParagraph"/>
        <w:widowControl/>
        <w:autoSpaceDE/>
        <w:autoSpaceDN/>
        <w:adjustRightInd/>
        <w:spacing w:line="259" w:lineRule="auto"/>
        <w:ind w:left="270" w:firstLine="0"/>
        <w:contextualSpacing/>
        <w:rPr>
          <w:rFonts w:asciiTheme="minorHAnsi" w:hAnsiTheme="minorHAnsi"/>
          <w:sz w:val="22"/>
          <w:szCs w:val="22"/>
        </w:rPr>
      </w:pPr>
      <w:r>
        <w:rPr>
          <w:rFonts w:asciiTheme="minorHAnsi" w:hAnsiTheme="minorHAnsi"/>
          <w:sz w:val="22"/>
          <w:szCs w:val="22"/>
        </w:rPr>
        <w:t xml:space="preserve">Studies deemed not feasible may </w:t>
      </w:r>
      <w:r w:rsidRPr="00EB714A">
        <w:rPr>
          <w:rFonts w:asciiTheme="minorHAnsi" w:hAnsiTheme="minorHAnsi"/>
          <w:sz w:val="22"/>
          <w:szCs w:val="22"/>
          <w:u w:val="single"/>
        </w:rPr>
        <w:t>NOT</w:t>
      </w:r>
      <w:r>
        <w:rPr>
          <w:rFonts w:asciiTheme="minorHAnsi" w:hAnsiTheme="minorHAnsi"/>
          <w:sz w:val="22"/>
          <w:szCs w:val="22"/>
        </w:rPr>
        <w:t xml:space="preserve"> proceed with IRB submission or the Study Start-up Process.</w:t>
      </w:r>
    </w:p>
    <w:p w14:paraId="28E7C3F5" w14:textId="77777777" w:rsidR="00E62B57" w:rsidRDefault="00E62B57" w:rsidP="008D7575">
      <w:pPr>
        <w:pStyle w:val="ListParagraph"/>
        <w:widowControl/>
        <w:autoSpaceDE/>
        <w:autoSpaceDN/>
        <w:adjustRightInd/>
        <w:spacing w:line="259" w:lineRule="auto"/>
        <w:ind w:left="270" w:firstLine="0"/>
        <w:contextualSpacing/>
        <w:rPr>
          <w:rFonts w:asciiTheme="minorHAnsi" w:hAnsiTheme="minorHAnsi"/>
          <w:sz w:val="22"/>
          <w:szCs w:val="22"/>
        </w:rPr>
      </w:pPr>
    </w:p>
    <w:p w14:paraId="5E5560F3" w14:textId="77777777" w:rsidR="00EB714A" w:rsidRPr="00D5626C" w:rsidRDefault="00EB714A" w:rsidP="008D7575">
      <w:pPr>
        <w:pStyle w:val="ListParagraph"/>
        <w:widowControl/>
        <w:autoSpaceDE/>
        <w:autoSpaceDN/>
        <w:adjustRightInd/>
        <w:spacing w:line="259" w:lineRule="auto"/>
        <w:ind w:left="270" w:firstLine="0"/>
        <w:contextualSpacing/>
        <w:rPr>
          <w:b/>
          <w:sz w:val="22"/>
          <w:szCs w:val="22"/>
          <w:u w:val="single"/>
        </w:rPr>
      </w:pPr>
      <w:r w:rsidRPr="00D5626C">
        <w:rPr>
          <w:b/>
          <w:sz w:val="22"/>
          <w:szCs w:val="22"/>
          <w:u w:val="single"/>
        </w:rPr>
        <w:t>Part 2: Clinical Operations Considerations</w:t>
      </w:r>
    </w:p>
    <w:p w14:paraId="0C75270B" w14:textId="77777777" w:rsidR="00EB714A" w:rsidRDefault="00EB714A" w:rsidP="008D7575">
      <w:pPr>
        <w:pStyle w:val="ListParagraph"/>
        <w:widowControl/>
        <w:autoSpaceDE/>
        <w:autoSpaceDN/>
        <w:adjustRightInd/>
        <w:spacing w:line="259" w:lineRule="auto"/>
        <w:ind w:left="270" w:firstLine="0"/>
        <w:contextualSpacing/>
        <w:rPr>
          <w:sz w:val="22"/>
          <w:szCs w:val="22"/>
        </w:rPr>
      </w:pPr>
      <w:r>
        <w:rPr>
          <w:sz w:val="22"/>
          <w:szCs w:val="22"/>
        </w:rPr>
        <w:t xml:space="preserve">Purpose: </w:t>
      </w:r>
      <w:r w:rsidRPr="00AF64D5">
        <w:rPr>
          <w:i/>
          <w:sz w:val="22"/>
          <w:szCs w:val="22"/>
        </w:rPr>
        <w:t>Part 2</w:t>
      </w:r>
      <w:r>
        <w:rPr>
          <w:sz w:val="22"/>
          <w:szCs w:val="22"/>
        </w:rPr>
        <w:t xml:space="preserve"> captures all information required by Research Administration Services (RAS),</w:t>
      </w:r>
      <w:r w:rsidRPr="00EB714A">
        <w:rPr>
          <w:sz w:val="22"/>
          <w:szCs w:val="22"/>
        </w:rPr>
        <w:t xml:space="preserve"> </w:t>
      </w:r>
      <w:r>
        <w:rPr>
          <w:sz w:val="22"/>
          <w:szCs w:val="22"/>
        </w:rPr>
        <w:t>Pre-Award, and ancillary cores such as Investigational Drug Services, Radiology, Emory Medical Laboratory, etc.</w:t>
      </w:r>
    </w:p>
    <w:p w14:paraId="05677F88" w14:textId="77777777" w:rsidR="00EB714A" w:rsidRDefault="00EB714A" w:rsidP="008D7575">
      <w:pPr>
        <w:pStyle w:val="ListParagraph"/>
        <w:widowControl/>
        <w:autoSpaceDE/>
        <w:autoSpaceDN/>
        <w:adjustRightInd/>
        <w:spacing w:line="259" w:lineRule="auto"/>
        <w:ind w:left="270" w:firstLine="0"/>
        <w:contextualSpacing/>
        <w:rPr>
          <w:sz w:val="22"/>
          <w:szCs w:val="22"/>
        </w:rPr>
      </w:pPr>
    </w:p>
    <w:p w14:paraId="6E943029" w14:textId="77777777" w:rsidR="00AF64D5" w:rsidRDefault="00EB714A" w:rsidP="008D7575">
      <w:pPr>
        <w:pStyle w:val="ListParagraph"/>
        <w:widowControl/>
        <w:autoSpaceDE/>
        <w:autoSpaceDN/>
        <w:adjustRightInd/>
        <w:spacing w:line="259" w:lineRule="auto"/>
        <w:ind w:left="270" w:firstLine="0"/>
        <w:contextualSpacing/>
        <w:rPr>
          <w:sz w:val="22"/>
          <w:szCs w:val="22"/>
        </w:rPr>
      </w:pPr>
      <w:r>
        <w:rPr>
          <w:sz w:val="22"/>
          <w:szCs w:val="22"/>
        </w:rPr>
        <w:t>Information required in this section pertains to site</w:t>
      </w:r>
      <w:r w:rsidR="00AF64D5">
        <w:rPr>
          <w:sz w:val="22"/>
          <w:szCs w:val="22"/>
        </w:rPr>
        <w:t xml:space="preserve"> logistics to conduct protocol.  </w:t>
      </w:r>
    </w:p>
    <w:p w14:paraId="46089818" w14:textId="77777777" w:rsidR="00DF4136" w:rsidRDefault="00DF4136" w:rsidP="008D7575">
      <w:pPr>
        <w:pStyle w:val="ListParagraph"/>
        <w:widowControl/>
        <w:autoSpaceDE/>
        <w:autoSpaceDN/>
        <w:adjustRightInd/>
        <w:spacing w:line="259" w:lineRule="auto"/>
        <w:ind w:left="270" w:firstLine="0"/>
        <w:contextualSpacing/>
        <w:rPr>
          <w:sz w:val="22"/>
          <w:szCs w:val="22"/>
        </w:rPr>
      </w:pPr>
    </w:p>
    <w:p w14:paraId="52BFACA8" w14:textId="77777777" w:rsidR="00AF64D5" w:rsidRPr="00DF4136" w:rsidRDefault="00D5626C" w:rsidP="008D7575">
      <w:pPr>
        <w:pStyle w:val="ListParagraph"/>
        <w:widowControl/>
        <w:autoSpaceDE/>
        <w:autoSpaceDN/>
        <w:adjustRightInd/>
        <w:spacing w:line="259" w:lineRule="auto"/>
        <w:ind w:left="270" w:firstLine="0"/>
        <w:contextualSpacing/>
        <w:rPr>
          <w:b/>
          <w:i/>
          <w:sz w:val="22"/>
          <w:szCs w:val="22"/>
        </w:rPr>
      </w:pPr>
      <w:r>
        <w:rPr>
          <w:b/>
          <w:i/>
          <w:sz w:val="22"/>
          <w:szCs w:val="22"/>
        </w:rPr>
        <w:t>5</w:t>
      </w:r>
      <w:r w:rsidR="00AF64D5" w:rsidRPr="00DF4136">
        <w:rPr>
          <w:b/>
          <w:i/>
          <w:sz w:val="22"/>
          <w:szCs w:val="22"/>
        </w:rPr>
        <w:t>.3 Feasibility Outcome</w:t>
      </w:r>
    </w:p>
    <w:p w14:paraId="1E4F7E01" w14:textId="41C2ADF0" w:rsidR="00AF64D5" w:rsidRDefault="00AF64D5" w:rsidP="008D7575">
      <w:pPr>
        <w:pStyle w:val="ListParagraph"/>
        <w:widowControl/>
        <w:autoSpaceDE/>
        <w:autoSpaceDN/>
        <w:adjustRightInd/>
        <w:spacing w:line="259" w:lineRule="auto"/>
        <w:ind w:left="270" w:firstLine="0"/>
        <w:contextualSpacing/>
        <w:rPr>
          <w:sz w:val="22"/>
          <w:szCs w:val="22"/>
        </w:rPr>
      </w:pPr>
      <w:r>
        <w:rPr>
          <w:sz w:val="22"/>
          <w:szCs w:val="22"/>
        </w:rPr>
        <w:t xml:space="preserve">The [insert role – should be based upon scientific expertise] reviews and signs-off </w:t>
      </w:r>
      <w:r w:rsidR="00BA71A1">
        <w:rPr>
          <w:sz w:val="22"/>
          <w:szCs w:val="22"/>
        </w:rPr>
        <w:t>o</w:t>
      </w:r>
      <w:r>
        <w:rPr>
          <w:sz w:val="22"/>
          <w:szCs w:val="22"/>
        </w:rPr>
        <w:t xml:space="preserve">n all Clinical Trial Feasibility Review Forms and will return the signed document to the Investigator and </w:t>
      </w:r>
      <w:r w:rsidRPr="00A86C32">
        <w:rPr>
          <w:sz w:val="22"/>
          <w:szCs w:val="22"/>
          <w:highlight w:val="yellow"/>
        </w:rPr>
        <w:t>[department/division designee]</w:t>
      </w:r>
      <w:r>
        <w:rPr>
          <w:sz w:val="22"/>
          <w:szCs w:val="22"/>
        </w:rPr>
        <w:t xml:space="preserve"> listed on the form.  This signed document should be retained by the study team and attached for reference to the corresponding IRB submission.</w:t>
      </w:r>
    </w:p>
    <w:p w14:paraId="6AA19F16" w14:textId="77777777" w:rsidR="00813F8C" w:rsidRDefault="00813F8C" w:rsidP="008D7575">
      <w:pPr>
        <w:pStyle w:val="Heading1"/>
        <w:tabs>
          <w:tab w:val="left" w:pos="401"/>
        </w:tabs>
        <w:kinsoku w:val="0"/>
        <w:overflowPunct w:val="0"/>
        <w:rPr>
          <w:rFonts w:ascii="Arial" w:hAnsi="Arial" w:cs="Arial"/>
          <w:color w:val="0069AA"/>
          <w:u w:val="thick"/>
        </w:rPr>
      </w:pPr>
    </w:p>
    <w:p w14:paraId="55610E12" w14:textId="77777777" w:rsidR="00246533" w:rsidRDefault="00246533" w:rsidP="008D7575">
      <w:pPr>
        <w:rPr>
          <w:rFonts w:ascii="Times New Roman" w:hAnsi="Times New Roman" w:cs="Times New Roman"/>
        </w:rPr>
      </w:pPr>
    </w:p>
    <w:p w14:paraId="0765A4C8" w14:textId="77777777" w:rsidR="00246533" w:rsidRPr="00D5626C" w:rsidRDefault="00246533" w:rsidP="008D7575">
      <w:pPr>
        <w:pStyle w:val="ListParagraph"/>
        <w:numPr>
          <w:ilvl w:val="0"/>
          <w:numId w:val="16"/>
        </w:numPr>
        <w:tabs>
          <w:tab w:val="left" w:pos="401"/>
        </w:tabs>
        <w:kinsoku w:val="0"/>
        <w:overflowPunct w:val="0"/>
        <w:ind w:left="0" w:firstLine="0"/>
        <w:rPr>
          <w:rFonts w:asciiTheme="minorHAnsi" w:hAnsiTheme="minorHAnsi"/>
          <w:b/>
          <w:bCs/>
          <w:color w:val="0069AA"/>
          <w:sz w:val="28"/>
          <w:szCs w:val="28"/>
        </w:rPr>
      </w:pPr>
      <w:r w:rsidRPr="00D5626C">
        <w:rPr>
          <w:rFonts w:asciiTheme="minorHAnsi" w:hAnsiTheme="minorHAnsi"/>
          <w:b/>
          <w:bCs/>
          <w:color w:val="0069AA"/>
          <w:sz w:val="28"/>
          <w:szCs w:val="28"/>
          <w:u w:val="thick"/>
        </w:rPr>
        <w:t>APPENDIX</w:t>
      </w:r>
    </w:p>
    <w:p w14:paraId="616F30C5" w14:textId="759ADB52" w:rsidR="00D5626C" w:rsidRPr="00D5626C" w:rsidRDefault="00D5626C" w:rsidP="008D7575">
      <w:pPr>
        <w:pStyle w:val="ListParagraph"/>
        <w:numPr>
          <w:ilvl w:val="0"/>
          <w:numId w:val="17"/>
        </w:numPr>
        <w:tabs>
          <w:tab w:val="left" w:pos="270"/>
        </w:tabs>
        <w:kinsoku w:val="0"/>
        <w:overflowPunct w:val="0"/>
        <w:rPr>
          <w:rFonts w:asciiTheme="minorHAnsi" w:hAnsiTheme="minorHAnsi"/>
          <w:b/>
          <w:bCs/>
          <w:color w:val="0069AA"/>
          <w:sz w:val="28"/>
          <w:szCs w:val="28"/>
        </w:rPr>
      </w:pPr>
      <w:r>
        <w:rPr>
          <w:sz w:val="22"/>
          <w:szCs w:val="22"/>
        </w:rPr>
        <w:t xml:space="preserve">Clinical </w:t>
      </w:r>
      <w:r w:rsidRPr="00D5626C">
        <w:rPr>
          <w:rFonts w:asciiTheme="minorHAnsi" w:hAnsiTheme="minorHAnsi"/>
          <w:sz w:val="22"/>
          <w:szCs w:val="22"/>
        </w:rPr>
        <w:t>Trial</w:t>
      </w:r>
      <w:r>
        <w:rPr>
          <w:sz w:val="22"/>
          <w:szCs w:val="22"/>
        </w:rPr>
        <w:t xml:space="preserve"> Feasibility Review Form</w:t>
      </w:r>
    </w:p>
    <w:p w14:paraId="01AEE48A" w14:textId="77777777" w:rsidR="00D5626C" w:rsidRPr="00D5626C" w:rsidRDefault="00D5626C" w:rsidP="008D7575">
      <w:pPr>
        <w:pStyle w:val="ListParagraph"/>
        <w:numPr>
          <w:ilvl w:val="0"/>
          <w:numId w:val="17"/>
        </w:numPr>
        <w:tabs>
          <w:tab w:val="left" w:pos="270"/>
        </w:tabs>
        <w:kinsoku w:val="0"/>
        <w:overflowPunct w:val="0"/>
        <w:rPr>
          <w:rFonts w:asciiTheme="minorHAnsi" w:hAnsiTheme="minorHAnsi"/>
          <w:bCs/>
          <w:sz w:val="22"/>
          <w:szCs w:val="22"/>
        </w:rPr>
      </w:pPr>
      <w:r w:rsidRPr="00D5626C">
        <w:rPr>
          <w:rFonts w:asciiTheme="minorHAnsi" w:hAnsiTheme="minorHAnsi"/>
          <w:bCs/>
          <w:sz w:val="22"/>
          <w:szCs w:val="22"/>
        </w:rPr>
        <w:t>Clinical Trial Feasibility Assessment Form</w:t>
      </w:r>
    </w:p>
    <w:p w14:paraId="2D8235FC" w14:textId="77777777" w:rsidR="00246533" w:rsidRPr="00D5626C" w:rsidRDefault="00246533" w:rsidP="008D7575">
      <w:pPr>
        <w:pStyle w:val="BodyText"/>
        <w:kinsoku w:val="0"/>
        <w:overflowPunct w:val="0"/>
        <w:spacing w:before="8"/>
        <w:rPr>
          <w:rFonts w:ascii="Arial" w:hAnsi="Arial" w:cs="Arial"/>
          <w:bCs/>
        </w:rPr>
      </w:pPr>
    </w:p>
    <w:p w14:paraId="775DD2B2" w14:textId="77777777" w:rsidR="00246533" w:rsidRDefault="00246533" w:rsidP="008D7575">
      <w:pPr>
        <w:pStyle w:val="BodyText"/>
        <w:kinsoku w:val="0"/>
        <w:overflowPunct w:val="0"/>
        <w:rPr>
          <w:sz w:val="20"/>
          <w:szCs w:val="20"/>
        </w:rPr>
      </w:pPr>
    </w:p>
    <w:p w14:paraId="6568F8D0" w14:textId="77777777" w:rsidR="00246533" w:rsidRDefault="00246533" w:rsidP="008D7575">
      <w:pPr>
        <w:pStyle w:val="BodyText"/>
        <w:kinsoku w:val="0"/>
        <w:overflowPunct w:val="0"/>
        <w:rPr>
          <w:sz w:val="20"/>
          <w:szCs w:val="20"/>
        </w:rPr>
      </w:pPr>
    </w:p>
    <w:p w14:paraId="071E3109" w14:textId="77777777" w:rsidR="00246533" w:rsidRDefault="00246533" w:rsidP="008D7575">
      <w:pPr>
        <w:pStyle w:val="BodyText"/>
        <w:kinsoku w:val="0"/>
        <w:overflowPunct w:val="0"/>
        <w:rPr>
          <w:sz w:val="20"/>
          <w:szCs w:val="20"/>
        </w:rPr>
      </w:pPr>
    </w:p>
    <w:p w14:paraId="681845A8" w14:textId="77777777" w:rsidR="00246533" w:rsidRDefault="00246533" w:rsidP="008D7575">
      <w:pPr>
        <w:pStyle w:val="BodyText"/>
        <w:kinsoku w:val="0"/>
        <w:overflowPunct w:val="0"/>
        <w:rPr>
          <w:sz w:val="20"/>
          <w:szCs w:val="20"/>
        </w:rPr>
      </w:pPr>
    </w:p>
    <w:p w14:paraId="063531A6" w14:textId="77777777" w:rsidR="00246533" w:rsidRDefault="00246533" w:rsidP="008D7575">
      <w:pPr>
        <w:pStyle w:val="BodyText"/>
        <w:kinsoku w:val="0"/>
        <w:overflowPunct w:val="0"/>
        <w:rPr>
          <w:sz w:val="20"/>
          <w:szCs w:val="20"/>
        </w:rPr>
      </w:pPr>
    </w:p>
    <w:p w14:paraId="41BE6B32" w14:textId="77777777" w:rsidR="00246533" w:rsidRDefault="00246533" w:rsidP="008D7575">
      <w:pPr>
        <w:pStyle w:val="BodyText"/>
        <w:kinsoku w:val="0"/>
        <w:overflowPunct w:val="0"/>
        <w:rPr>
          <w:sz w:val="20"/>
          <w:szCs w:val="20"/>
        </w:rPr>
      </w:pPr>
    </w:p>
    <w:p w14:paraId="4123385A" w14:textId="77777777" w:rsidR="00246533" w:rsidRDefault="00246533" w:rsidP="008D7575">
      <w:pPr>
        <w:pStyle w:val="BodyText"/>
        <w:kinsoku w:val="0"/>
        <w:overflowPunct w:val="0"/>
        <w:rPr>
          <w:sz w:val="20"/>
          <w:szCs w:val="20"/>
        </w:rPr>
      </w:pPr>
    </w:p>
    <w:p w14:paraId="7F35B0B4" w14:textId="77777777" w:rsidR="00246533" w:rsidRDefault="00246533" w:rsidP="008D7575">
      <w:pPr>
        <w:pStyle w:val="BodyText"/>
        <w:kinsoku w:val="0"/>
        <w:overflowPunct w:val="0"/>
        <w:rPr>
          <w:sz w:val="20"/>
          <w:szCs w:val="20"/>
        </w:rPr>
      </w:pPr>
    </w:p>
    <w:p w14:paraId="49C8EBB1" w14:textId="77777777" w:rsidR="00246533" w:rsidRDefault="00246533" w:rsidP="008D7575">
      <w:pPr>
        <w:pStyle w:val="BodyText"/>
        <w:kinsoku w:val="0"/>
        <w:overflowPunct w:val="0"/>
        <w:rPr>
          <w:sz w:val="20"/>
          <w:szCs w:val="20"/>
        </w:rPr>
      </w:pPr>
    </w:p>
    <w:p w14:paraId="3C06BA58" w14:textId="77777777" w:rsidR="00246533" w:rsidRDefault="00246533" w:rsidP="008D7575">
      <w:pPr>
        <w:pStyle w:val="BodyText"/>
        <w:kinsoku w:val="0"/>
        <w:overflowPunct w:val="0"/>
        <w:rPr>
          <w:sz w:val="20"/>
          <w:szCs w:val="20"/>
        </w:rPr>
      </w:pPr>
    </w:p>
    <w:p w14:paraId="6927A206" w14:textId="77777777" w:rsidR="00246533" w:rsidRDefault="00246533" w:rsidP="008D7575">
      <w:pPr>
        <w:pStyle w:val="BodyText"/>
        <w:kinsoku w:val="0"/>
        <w:overflowPunct w:val="0"/>
        <w:rPr>
          <w:sz w:val="20"/>
          <w:szCs w:val="20"/>
        </w:rPr>
      </w:pPr>
    </w:p>
    <w:p w14:paraId="307FBB23" w14:textId="77777777" w:rsidR="00246533" w:rsidRDefault="00246533" w:rsidP="008D7575">
      <w:pPr>
        <w:pStyle w:val="BodyText"/>
        <w:kinsoku w:val="0"/>
        <w:overflowPunct w:val="0"/>
        <w:rPr>
          <w:sz w:val="20"/>
          <w:szCs w:val="20"/>
        </w:rPr>
      </w:pPr>
    </w:p>
    <w:p w14:paraId="2F3B0A54" w14:textId="77777777" w:rsidR="00246533" w:rsidRDefault="00246533" w:rsidP="008D7575">
      <w:pPr>
        <w:pStyle w:val="BodyText"/>
        <w:kinsoku w:val="0"/>
        <w:overflowPunct w:val="0"/>
        <w:rPr>
          <w:sz w:val="20"/>
          <w:szCs w:val="20"/>
        </w:rPr>
      </w:pPr>
    </w:p>
    <w:p w14:paraId="0707FF7A" w14:textId="77777777" w:rsidR="00246533" w:rsidRDefault="00246533" w:rsidP="008D7575">
      <w:pPr>
        <w:pStyle w:val="BodyText"/>
        <w:kinsoku w:val="0"/>
        <w:overflowPunct w:val="0"/>
        <w:rPr>
          <w:sz w:val="20"/>
          <w:szCs w:val="20"/>
        </w:rPr>
      </w:pPr>
    </w:p>
    <w:p w14:paraId="58E09F52" w14:textId="77777777" w:rsidR="00246533" w:rsidRDefault="00246533" w:rsidP="008D7575">
      <w:pPr>
        <w:pStyle w:val="BodyText"/>
        <w:kinsoku w:val="0"/>
        <w:overflowPunct w:val="0"/>
        <w:spacing w:before="10"/>
        <w:rPr>
          <w:sz w:val="20"/>
          <w:szCs w:val="20"/>
        </w:rPr>
      </w:pPr>
    </w:p>
    <w:p w14:paraId="3C4CE8E0" w14:textId="77777777" w:rsidR="00246533" w:rsidRDefault="00246533" w:rsidP="008D7575"/>
    <w:sectPr w:rsidR="00246533">
      <w:headerReference w:type="default" r:id="rId8"/>
      <w:footerReference w:type="default" r:id="rId9"/>
      <w:pgSz w:w="11910" w:h="16840"/>
      <w:pgMar w:top="680" w:right="1100" w:bottom="280" w:left="10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9BF524" w14:textId="77777777" w:rsidR="00137F02" w:rsidRDefault="00137F02" w:rsidP="00F10BD1">
      <w:r>
        <w:separator/>
      </w:r>
    </w:p>
  </w:endnote>
  <w:endnote w:type="continuationSeparator" w:id="0">
    <w:p w14:paraId="7361E2AC" w14:textId="77777777" w:rsidR="00137F02" w:rsidRDefault="00137F02" w:rsidP="00F10B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jc w:val="center"/>
      <w:tblCellMar>
        <w:top w:w="144" w:type="dxa"/>
        <w:left w:w="115" w:type="dxa"/>
        <w:bottom w:w="144" w:type="dxa"/>
        <w:right w:w="115" w:type="dxa"/>
      </w:tblCellMar>
      <w:tblLook w:val="04A0" w:firstRow="1" w:lastRow="0" w:firstColumn="1" w:lastColumn="0" w:noHBand="0" w:noVBand="1"/>
    </w:tblPr>
    <w:tblGrid>
      <w:gridCol w:w="4891"/>
      <w:gridCol w:w="4879"/>
    </w:tblGrid>
    <w:tr w:rsidR="00F10BD1" w:rsidRPr="00F10BD1" w14:paraId="405EBBE9" w14:textId="77777777" w:rsidTr="00F10BD1">
      <w:trPr>
        <w:trHeight w:hRule="exact" w:val="115"/>
        <w:jc w:val="center"/>
      </w:trPr>
      <w:tc>
        <w:tcPr>
          <w:tcW w:w="4686" w:type="dxa"/>
          <w:shd w:val="clear" w:color="auto" w:fill="5B9BD5"/>
          <w:tcMar>
            <w:top w:w="0" w:type="dxa"/>
            <w:bottom w:w="0" w:type="dxa"/>
          </w:tcMar>
        </w:tcPr>
        <w:p w14:paraId="31CE75F9" w14:textId="77777777" w:rsidR="00F10BD1" w:rsidRPr="00F10BD1" w:rsidRDefault="00F10BD1">
          <w:pPr>
            <w:pStyle w:val="Header"/>
            <w:tabs>
              <w:tab w:val="clear" w:pos="4680"/>
              <w:tab w:val="clear" w:pos="9360"/>
            </w:tabs>
            <w:rPr>
              <w:caps/>
              <w:sz w:val="18"/>
            </w:rPr>
          </w:pPr>
        </w:p>
      </w:tc>
      <w:tc>
        <w:tcPr>
          <w:tcW w:w="4674" w:type="dxa"/>
          <w:shd w:val="clear" w:color="auto" w:fill="5B9BD5"/>
          <w:tcMar>
            <w:top w:w="0" w:type="dxa"/>
            <w:bottom w:w="0" w:type="dxa"/>
          </w:tcMar>
        </w:tcPr>
        <w:p w14:paraId="5890A6E0" w14:textId="77777777" w:rsidR="00F10BD1" w:rsidRPr="00F10BD1" w:rsidRDefault="00F10BD1">
          <w:pPr>
            <w:pStyle w:val="Header"/>
            <w:tabs>
              <w:tab w:val="clear" w:pos="4680"/>
              <w:tab w:val="clear" w:pos="9360"/>
            </w:tabs>
            <w:jc w:val="right"/>
            <w:rPr>
              <w:caps/>
              <w:sz w:val="18"/>
            </w:rPr>
          </w:pPr>
        </w:p>
      </w:tc>
    </w:tr>
    <w:tr w:rsidR="00F10BD1" w:rsidRPr="00F10BD1" w14:paraId="232CEEE3" w14:textId="77777777">
      <w:trPr>
        <w:jc w:val="center"/>
      </w:trPr>
      <w:tc>
        <w:tcPr>
          <w:tcW w:w="4686" w:type="dxa"/>
          <w:vAlign w:val="center"/>
        </w:tcPr>
        <w:p w14:paraId="0D5BC000" w14:textId="77777777" w:rsidR="00F10BD1" w:rsidRPr="00F10BD1" w:rsidRDefault="00F10BD1" w:rsidP="00F10BD1">
          <w:pPr>
            <w:pStyle w:val="Footer"/>
            <w:tabs>
              <w:tab w:val="clear" w:pos="4680"/>
              <w:tab w:val="clear" w:pos="9360"/>
            </w:tabs>
            <w:rPr>
              <w:caps/>
              <w:sz w:val="16"/>
              <w:szCs w:val="16"/>
            </w:rPr>
          </w:pPr>
          <w:r w:rsidRPr="00F10BD1">
            <w:rPr>
              <w:caps/>
              <w:sz w:val="16"/>
              <w:szCs w:val="16"/>
            </w:rPr>
            <w:t>Version 1.00</w:t>
          </w:r>
        </w:p>
        <w:p w14:paraId="13E17820" w14:textId="331AB06B" w:rsidR="00F10BD1" w:rsidRPr="00F10BD1" w:rsidRDefault="004E63B4" w:rsidP="00F10BD1">
          <w:pPr>
            <w:pStyle w:val="Footer"/>
            <w:tabs>
              <w:tab w:val="clear" w:pos="4680"/>
              <w:tab w:val="clear" w:pos="9360"/>
            </w:tabs>
            <w:rPr>
              <w:caps/>
              <w:color w:val="808080"/>
              <w:sz w:val="18"/>
              <w:szCs w:val="18"/>
            </w:rPr>
          </w:pPr>
          <w:r>
            <w:rPr>
              <w:caps/>
              <w:sz w:val="16"/>
              <w:szCs w:val="16"/>
            </w:rPr>
            <w:t>November</w:t>
          </w:r>
          <w:r w:rsidR="00F10BD1" w:rsidRPr="00F10BD1">
            <w:rPr>
              <w:caps/>
              <w:sz w:val="16"/>
              <w:szCs w:val="16"/>
            </w:rPr>
            <w:t xml:space="preserve"> </w:t>
          </w:r>
          <w:r>
            <w:rPr>
              <w:caps/>
              <w:sz w:val="16"/>
              <w:szCs w:val="16"/>
            </w:rPr>
            <w:t>11</w:t>
          </w:r>
          <w:r w:rsidR="00F10BD1" w:rsidRPr="00F10BD1">
            <w:rPr>
              <w:caps/>
              <w:sz w:val="16"/>
              <w:szCs w:val="16"/>
            </w:rPr>
            <w:t>, 2021</w:t>
          </w:r>
        </w:p>
      </w:tc>
      <w:tc>
        <w:tcPr>
          <w:tcW w:w="4674" w:type="dxa"/>
          <w:vAlign w:val="center"/>
        </w:tcPr>
        <w:p w14:paraId="4BCA18F9" w14:textId="77777777" w:rsidR="00F10BD1" w:rsidRPr="00F10BD1" w:rsidRDefault="00F10BD1">
          <w:pPr>
            <w:pStyle w:val="Footer"/>
            <w:tabs>
              <w:tab w:val="clear" w:pos="4680"/>
              <w:tab w:val="clear" w:pos="9360"/>
            </w:tabs>
            <w:jc w:val="right"/>
            <w:rPr>
              <w:caps/>
              <w:color w:val="808080"/>
              <w:sz w:val="16"/>
              <w:szCs w:val="16"/>
            </w:rPr>
          </w:pPr>
          <w:r w:rsidRPr="00F10BD1">
            <w:rPr>
              <w:caps/>
              <w:color w:val="808080"/>
              <w:sz w:val="16"/>
              <w:szCs w:val="16"/>
            </w:rPr>
            <w:fldChar w:fldCharType="begin"/>
          </w:r>
          <w:r w:rsidRPr="00F10BD1">
            <w:rPr>
              <w:caps/>
              <w:color w:val="808080"/>
              <w:sz w:val="16"/>
              <w:szCs w:val="16"/>
            </w:rPr>
            <w:instrText xml:space="preserve"> PAGE   \* MERGEFORMAT </w:instrText>
          </w:r>
          <w:r w:rsidRPr="00F10BD1">
            <w:rPr>
              <w:caps/>
              <w:color w:val="808080"/>
              <w:sz w:val="16"/>
              <w:szCs w:val="16"/>
            </w:rPr>
            <w:fldChar w:fldCharType="separate"/>
          </w:r>
          <w:r w:rsidR="00906329">
            <w:rPr>
              <w:caps/>
              <w:noProof/>
              <w:color w:val="808080"/>
              <w:sz w:val="16"/>
              <w:szCs w:val="16"/>
            </w:rPr>
            <w:t>3</w:t>
          </w:r>
          <w:r w:rsidRPr="00F10BD1">
            <w:rPr>
              <w:caps/>
              <w:color w:val="808080"/>
              <w:sz w:val="16"/>
              <w:szCs w:val="16"/>
            </w:rPr>
            <w:fldChar w:fldCharType="end"/>
          </w:r>
        </w:p>
      </w:tc>
    </w:tr>
  </w:tbl>
  <w:p w14:paraId="0DD5398F" w14:textId="77777777" w:rsidR="00F10BD1" w:rsidRDefault="00F10B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8EBC47" w14:textId="77777777" w:rsidR="00137F02" w:rsidRDefault="00137F02" w:rsidP="00F10BD1">
      <w:r>
        <w:separator/>
      </w:r>
    </w:p>
  </w:footnote>
  <w:footnote w:type="continuationSeparator" w:id="0">
    <w:p w14:paraId="1D7FEAE8" w14:textId="77777777" w:rsidR="00137F02" w:rsidRDefault="00137F02" w:rsidP="00F10B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Ind w:w="140" w:type="dxa"/>
      <w:tblLayout w:type="fixed"/>
      <w:tblCellMar>
        <w:left w:w="0" w:type="dxa"/>
        <w:right w:w="0" w:type="dxa"/>
      </w:tblCellMar>
      <w:tblLook w:val="0000" w:firstRow="0" w:lastRow="0" w:firstColumn="0" w:lastColumn="0" w:noHBand="0" w:noVBand="0"/>
    </w:tblPr>
    <w:tblGrid>
      <w:gridCol w:w="6924"/>
      <w:gridCol w:w="2526"/>
    </w:tblGrid>
    <w:tr w:rsidR="00F10BD1" w:rsidRPr="00F10BD1" w14:paraId="16A07B93" w14:textId="77777777" w:rsidTr="00F10BD1">
      <w:trPr>
        <w:trHeight w:hRule="exact" w:val="858"/>
      </w:trPr>
      <w:tc>
        <w:tcPr>
          <w:tcW w:w="6924" w:type="dxa"/>
          <w:tcBorders>
            <w:top w:val="thinThickLargeGap" w:sz="12" w:space="0" w:color="A5A5A5"/>
            <w:left w:val="thinThickLargeGap" w:sz="12" w:space="0" w:color="A5A5A5"/>
            <w:bottom w:val="thinThickLargeGap" w:sz="12" w:space="0" w:color="A5A5A5"/>
            <w:right w:val="thinThickLargeGap" w:sz="12" w:space="0" w:color="A5A5A5"/>
          </w:tcBorders>
        </w:tcPr>
        <w:p w14:paraId="321C3FDB" w14:textId="77777777" w:rsidR="00F10BD1" w:rsidRPr="00F10BD1" w:rsidRDefault="00F10BD1" w:rsidP="00F10BD1">
          <w:pPr>
            <w:pStyle w:val="TableParagraph"/>
            <w:kinsoku w:val="0"/>
            <w:overflowPunct w:val="0"/>
            <w:spacing w:before="120"/>
            <w:rPr>
              <w:rFonts w:ascii="Times New Roman" w:hAnsi="Times New Roman" w:cs="Times New Roman"/>
            </w:rPr>
          </w:pPr>
          <w:r w:rsidRPr="00F10BD1">
            <w:rPr>
              <w:b/>
              <w:bCs/>
              <w:color w:val="0069AA"/>
              <w:sz w:val="36"/>
              <w:szCs w:val="36"/>
            </w:rPr>
            <w:t>STANDARD OPERATING PROCEDURE (SOP)</w:t>
          </w:r>
        </w:p>
      </w:tc>
      <w:tc>
        <w:tcPr>
          <w:tcW w:w="2526" w:type="dxa"/>
          <w:vMerge w:val="restart"/>
          <w:tcBorders>
            <w:top w:val="double" w:sz="8" w:space="0" w:color="9F9F9F"/>
            <w:left w:val="thinThickLargeGap" w:sz="12" w:space="0" w:color="A5A5A5"/>
            <w:bottom w:val="double" w:sz="8" w:space="0" w:color="9F9F9F"/>
            <w:right w:val="thinThickLargeGap" w:sz="12" w:space="0" w:color="A5A5A5"/>
          </w:tcBorders>
        </w:tcPr>
        <w:p w14:paraId="00CA90B9" w14:textId="77777777" w:rsidR="00F10BD1" w:rsidRPr="00F10BD1" w:rsidRDefault="00F10BD1" w:rsidP="00F10BD1">
          <w:pPr>
            <w:pStyle w:val="TableParagraph"/>
            <w:kinsoku w:val="0"/>
            <w:overflowPunct w:val="0"/>
            <w:spacing w:before="2" w:after="1"/>
            <w:ind w:left="0"/>
            <w:rPr>
              <w:rFonts w:ascii="Times New Roman" w:hAnsi="Times New Roman" w:cs="Times New Roman"/>
              <w:sz w:val="15"/>
              <w:szCs w:val="15"/>
            </w:rPr>
          </w:pPr>
        </w:p>
        <w:p w14:paraId="761ECCB7" w14:textId="77777777" w:rsidR="00F10BD1" w:rsidRPr="00F10BD1" w:rsidRDefault="00AD191D" w:rsidP="00F10BD1">
          <w:pPr>
            <w:pStyle w:val="TableParagraph"/>
            <w:kinsoku w:val="0"/>
            <w:overflowPunct w:val="0"/>
            <w:ind w:left="324"/>
            <w:rPr>
              <w:rFonts w:ascii="Times New Roman" w:hAnsi="Times New Roman" w:cs="Times New Roman"/>
            </w:rPr>
          </w:pPr>
          <w:r w:rsidRPr="00F10BD1">
            <w:rPr>
              <w:noProof/>
            </w:rPr>
            <w:drawing>
              <wp:inline distT="0" distB="0" distL="0" distR="0" wp14:anchorId="5012F8BC" wp14:editId="02DD2DA6">
                <wp:extent cx="1085850" cy="876300"/>
                <wp:effectExtent l="0" t="0" r="0" b="0"/>
                <wp:docPr id="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5850" cy="876300"/>
                        </a:xfrm>
                        <a:prstGeom prst="rect">
                          <a:avLst/>
                        </a:prstGeom>
                        <a:noFill/>
                        <a:ln>
                          <a:noFill/>
                        </a:ln>
                      </pic:spPr>
                    </pic:pic>
                  </a:graphicData>
                </a:graphic>
              </wp:inline>
            </w:drawing>
          </w:r>
        </w:p>
      </w:tc>
    </w:tr>
    <w:tr w:rsidR="00F10BD1" w:rsidRPr="00F10BD1" w14:paraId="23867EB3" w14:textId="77777777" w:rsidTr="00F10BD1">
      <w:trPr>
        <w:trHeight w:hRule="exact" w:val="767"/>
      </w:trPr>
      <w:tc>
        <w:tcPr>
          <w:tcW w:w="6924" w:type="dxa"/>
          <w:tcBorders>
            <w:top w:val="thinThickLargeGap" w:sz="12" w:space="0" w:color="A5A5A5"/>
            <w:left w:val="thinThickLargeGap" w:sz="12" w:space="0" w:color="A5A5A5"/>
            <w:bottom w:val="thinThickLargeGap" w:sz="12" w:space="0" w:color="A5A5A5"/>
            <w:right w:val="thinThickLargeGap" w:sz="12" w:space="0" w:color="A5A5A5"/>
          </w:tcBorders>
        </w:tcPr>
        <w:p w14:paraId="25B1756B" w14:textId="77777777" w:rsidR="00F10BD1" w:rsidRPr="00F10BD1" w:rsidRDefault="00F10BD1" w:rsidP="00F10BD1">
          <w:pPr>
            <w:pStyle w:val="TableParagraph"/>
            <w:kinsoku w:val="0"/>
            <w:overflowPunct w:val="0"/>
            <w:spacing w:before="60"/>
            <w:rPr>
              <w:rFonts w:ascii="Times New Roman" w:hAnsi="Times New Roman" w:cs="Times New Roman"/>
            </w:rPr>
          </w:pPr>
          <w:r w:rsidRPr="00F10BD1">
            <w:rPr>
              <w:b/>
              <w:bCs/>
              <w:color w:val="0069AA"/>
              <w:sz w:val="28"/>
              <w:szCs w:val="28"/>
            </w:rPr>
            <w:t>TITLE: CLINICAL TRIAL FEASIBILITY ASSESSMENT</w:t>
          </w:r>
        </w:p>
      </w:tc>
      <w:tc>
        <w:tcPr>
          <w:tcW w:w="2526" w:type="dxa"/>
          <w:vMerge/>
          <w:tcBorders>
            <w:top w:val="double" w:sz="8" w:space="0" w:color="9F9F9F"/>
            <w:left w:val="thinThickLargeGap" w:sz="12" w:space="0" w:color="A5A5A5"/>
            <w:bottom w:val="double" w:sz="8" w:space="0" w:color="9F9F9F"/>
            <w:right w:val="thinThickLargeGap" w:sz="12" w:space="0" w:color="A5A5A5"/>
          </w:tcBorders>
        </w:tcPr>
        <w:p w14:paraId="23F25A7F" w14:textId="77777777" w:rsidR="00F10BD1" w:rsidRPr="00F10BD1" w:rsidRDefault="00F10BD1" w:rsidP="00F10BD1">
          <w:pPr>
            <w:pStyle w:val="TableParagraph"/>
            <w:kinsoku w:val="0"/>
            <w:overflowPunct w:val="0"/>
            <w:spacing w:before="60"/>
            <w:rPr>
              <w:rFonts w:ascii="Times New Roman" w:hAnsi="Times New Roman" w:cs="Times New Roman"/>
            </w:rPr>
          </w:pPr>
        </w:p>
      </w:tc>
    </w:tr>
  </w:tbl>
  <w:p w14:paraId="79B75438" w14:textId="77777777" w:rsidR="00F10BD1" w:rsidRDefault="00AD191D" w:rsidP="00F10BD1">
    <w:pPr>
      <w:spacing w:line="264" w:lineRule="auto"/>
    </w:pPr>
    <w:r>
      <w:rPr>
        <w:noProof/>
      </w:rPr>
      <mc:AlternateContent>
        <mc:Choice Requires="wps">
          <w:drawing>
            <wp:anchor distT="0" distB="0" distL="114300" distR="114300" simplePos="0" relativeHeight="251658240" behindDoc="0" locked="0" layoutInCell="1" allowOverlap="1" wp14:anchorId="7A2CFB9D" wp14:editId="2ABDACBA">
              <wp:simplePos x="0" y="0"/>
              <wp:positionH relativeFrom="page">
                <wp:align>center</wp:align>
              </wp:positionH>
              <wp:positionV relativeFrom="page">
                <wp:align>center</wp:align>
              </wp:positionV>
              <wp:extent cx="7185025" cy="10158730"/>
              <wp:effectExtent l="0" t="0" r="0" b="0"/>
              <wp:wrapNone/>
              <wp:docPr id="222" name="Rectangle 2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85025" cy="10158730"/>
                      </a:xfrm>
                      <a:prstGeom prst="rect">
                        <a:avLst/>
                      </a:prstGeom>
                      <a:noFill/>
                      <a:ln w="15875" cap="flat" cmpd="sng" algn="ctr">
                        <a:solidFill>
                          <a:srgbClr val="E7E6E6">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0986B7B2" id="Rectangle 222" o:spid="_x0000_s1026" style="position:absolute;margin-left:0;margin-top:0;width:565.75pt;height:799.9pt;z-index:251658240;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" filled="f" strokecolor="#767171" strokeweight="1.25pt">
              <v:path arrowok="t"/>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402"/>
    <w:multiLevelType w:val="multilevel"/>
    <w:tmpl w:val="00000885"/>
    <w:lvl w:ilvl="0">
      <w:start w:val="1"/>
      <w:numFmt w:val="decimal"/>
      <w:lvlText w:val="%1."/>
      <w:lvlJc w:val="left"/>
      <w:pPr>
        <w:ind w:left="400" w:hanging="284"/>
      </w:pPr>
      <w:rPr>
        <w:rFonts w:ascii="Arial" w:hAnsi="Arial" w:cs="Arial"/>
        <w:b/>
        <w:bCs/>
        <w:color w:val="0069AA"/>
        <w:spacing w:val="-1"/>
        <w:w w:val="100"/>
        <w:sz w:val="22"/>
        <w:szCs w:val="22"/>
      </w:rPr>
    </w:lvl>
    <w:lvl w:ilvl="1">
      <w:numFmt w:val="bullet"/>
      <w:lvlText w:val=""/>
      <w:lvlJc w:val="left"/>
      <w:pPr>
        <w:ind w:left="750" w:hanging="358"/>
      </w:pPr>
      <w:rPr>
        <w:rFonts w:ascii="Symbol" w:hAnsi="Symbol"/>
        <w:b w:val="0"/>
        <w:w w:val="100"/>
        <w:sz w:val="22"/>
      </w:rPr>
    </w:lvl>
    <w:lvl w:ilvl="2">
      <w:numFmt w:val="bullet"/>
      <w:lvlText w:val="o"/>
      <w:lvlJc w:val="left"/>
      <w:pPr>
        <w:ind w:left="1223" w:hanging="432"/>
      </w:pPr>
      <w:rPr>
        <w:rFonts w:ascii="Courier New" w:hAnsi="Courier New"/>
        <w:b w:val="0"/>
        <w:w w:val="100"/>
        <w:sz w:val="22"/>
      </w:rPr>
    </w:lvl>
    <w:lvl w:ilvl="3">
      <w:numFmt w:val="bullet"/>
      <w:lvlText w:val="•"/>
      <w:lvlJc w:val="left"/>
      <w:pPr>
        <w:ind w:left="1220" w:hanging="432"/>
      </w:pPr>
    </w:lvl>
    <w:lvl w:ilvl="4">
      <w:numFmt w:val="bullet"/>
      <w:lvlText w:val="•"/>
      <w:lvlJc w:val="left"/>
      <w:pPr>
        <w:ind w:left="2440" w:hanging="432"/>
      </w:pPr>
    </w:lvl>
    <w:lvl w:ilvl="5">
      <w:numFmt w:val="bullet"/>
      <w:lvlText w:val="•"/>
      <w:lvlJc w:val="left"/>
      <w:pPr>
        <w:ind w:left="3661" w:hanging="432"/>
      </w:pPr>
    </w:lvl>
    <w:lvl w:ilvl="6">
      <w:numFmt w:val="bullet"/>
      <w:lvlText w:val="•"/>
      <w:lvlJc w:val="left"/>
      <w:pPr>
        <w:ind w:left="4882" w:hanging="432"/>
      </w:pPr>
    </w:lvl>
    <w:lvl w:ilvl="7">
      <w:numFmt w:val="bullet"/>
      <w:lvlText w:val="•"/>
      <w:lvlJc w:val="left"/>
      <w:pPr>
        <w:ind w:left="6103" w:hanging="432"/>
      </w:pPr>
    </w:lvl>
    <w:lvl w:ilvl="8">
      <w:numFmt w:val="bullet"/>
      <w:lvlText w:val="•"/>
      <w:lvlJc w:val="left"/>
      <w:pPr>
        <w:ind w:left="7324" w:hanging="432"/>
      </w:pPr>
    </w:lvl>
  </w:abstractNum>
  <w:abstractNum w:abstractNumId="1" w15:restartNumberingAfterBreak="0">
    <w:nsid w:val="00000403"/>
    <w:multiLevelType w:val="multilevel"/>
    <w:tmpl w:val="00000886"/>
    <w:lvl w:ilvl="0">
      <w:start w:val="5"/>
      <w:numFmt w:val="decimal"/>
      <w:lvlText w:val="%1"/>
      <w:lvlJc w:val="left"/>
      <w:pPr>
        <w:ind w:left="734" w:hanging="334"/>
      </w:pPr>
      <w:rPr>
        <w:rFonts w:cs="Times New Roman"/>
      </w:rPr>
    </w:lvl>
    <w:lvl w:ilvl="1">
      <w:start w:val="1"/>
      <w:numFmt w:val="decimal"/>
      <w:lvlText w:val="%1.%2"/>
      <w:lvlJc w:val="left"/>
      <w:pPr>
        <w:ind w:left="734" w:hanging="334"/>
      </w:pPr>
      <w:rPr>
        <w:rFonts w:cs="Times New Roman"/>
        <w:spacing w:val="-2"/>
        <w:w w:val="100"/>
        <w:u w:val="single" w:color="0069AA"/>
      </w:rPr>
    </w:lvl>
    <w:lvl w:ilvl="2">
      <w:numFmt w:val="bullet"/>
      <w:lvlText w:val="•"/>
      <w:lvlJc w:val="left"/>
      <w:pPr>
        <w:ind w:left="2545" w:hanging="334"/>
      </w:pPr>
    </w:lvl>
    <w:lvl w:ilvl="3">
      <w:numFmt w:val="bullet"/>
      <w:lvlText w:val="•"/>
      <w:lvlJc w:val="left"/>
      <w:pPr>
        <w:ind w:left="3447" w:hanging="334"/>
      </w:pPr>
    </w:lvl>
    <w:lvl w:ilvl="4">
      <w:numFmt w:val="bullet"/>
      <w:lvlText w:val="•"/>
      <w:lvlJc w:val="left"/>
      <w:pPr>
        <w:ind w:left="4350" w:hanging="334"/>
      </w:pPr>
    </w:lvl>
    <w:lvl w:ilvl="5">
      <w:numFmt w:val="bullet"/>
      <w:lvlText w:val="•"/>
      <w:lvlJc w:val="left"/>
      <w:pPr>
        <w:ind w:left="5253" w:hanging="334"/>
      </w:pPr>
    </w:lvl>
    <w:lvl w:ilvl="6">
      <w:numFmt w:val="bullet"/>
      <w:lvlText w:val="•"/>
      <w:lvlJc w:val="left"/>
      <w:pPr>
        <w:ind w:left="6155" w:hanging="334"/>
      </w:pPr>
    </w:lvl>
    <w:lvl w:ilvl="7">
      <w:numFmt w:val="bullet"/>
      <w:lvlText w:val="•"/>
      <w:lvlJc w:val="left"/>
      <w:pPr>
        <w:ind w:left="7058" w:hanging="334"/>
      </w:pPr>
    </w:lvl>
    <w:lvl w:ilvl="8">
      <w:numFmt w:val="bullet"/>
      <w:lvlText w:val="•"/>
      <w:lvlJc w:val="left"/>
      <w:pPr>
        <w:ind w:left="7961" w:hanging="334"/>
      </w:pPr>
    </w:lvl>
  </w:abstractNum>
  <w:abstractNum w:abstractNumId="2" w15:restartNumberingAfterBreak="0">
    <w:nsid w:val="00000404"/>
    <w:multiLevelType w:val="multilevel"/>
    <w:tmpl w:val="00000887"/>
    <w:lvl w:ilvl="0">
      <w:numFmt w:val="bullet"/>
      <w:lvlText w:val=""/>
      <w:lvlJc w:val="left"/>
      <w:pPr>
        <w:ind w:left="820" w:hanging="358"/>
      </w:pPr>
      <w:rPr>
        <w:rFonts w:ascii="Symbol" w:hAnsi="Symbol"/>
        <w:b w:val="0"/>
        <w:w w:val="100"/>
        <w:sz w:val="22"/>
      </w:rPr>
    </w:lvl>
    <w:lvl w:ilvl="1">
      <w:numFmt w:val="bullet"/>
      <w:lvlText w:val="•"/>
      <w:lvlJc w:val="left"/>
      <w:pPr>
        <w:ind w:left="1714" w:hanging="358"/>
      </w:pPr>
    </w:lvl>
    <w:lvl w:ilvl="2">
      <w:numFmt w:val="bullet"/>
      <w:lvlText w:val="•"/>
      <w:lvlJc w:val="left"/>
      <w:pPr>
        <w:ind w:left="2609" w:hanging="358"/>
      </w:pPr>
    </w:lvl>
    <w:lvl w:ilvl="3">
      <w:numFmt w:val="bullet"/>
      <w:lvlText w:val="•"/>
      <w:lvlJc w:val="left"/>
      <w:pPr>
        <w:ind w:left="3503" w:hanging="358"/>
      </w:pPr>
    </w:lvl>
    <w:lvl w:ilvl="4">
      <w:numFmt w:val="bullet"/>
      <w:lvlText w:val="•"/>
      <w:lvlJc w:val="left"/>
      <w:pPr>
        <w:ind w:left="4398" w:hanging="358"/>
      </w:pPr>
    </w:lvl>
    <w:lvl w:ilvl="5">
      <w:numFmt w:val="bullet"/>
      <w:lvlText w:val="•"/>
      <w:lvlJc w:val="left"/>
      <w:pPr>
        <w:ind w:left="5293" w:hanging="358"/>
      </w:pPr>
    </w:lvl>
    <w:lvl w:ilvl="6">
      <w:numFmt w:val="bullet"/>
      <w:lvlText w:val="•"/>
      <w:lvlJc w:val="left"/>
      <w:pPr>
        <w:ind w:left="6187" w:hanging="358"/>
      </w:pPr>
    </w:lvl>
    <w:lvl w:ilvl="7">
      <w:numFmt w:val="bullet"/>
      <w:lvlText w:val="•"/>
      <w:lvlJc w:val="left"/>
      <w:pPr>
        <w:ind w:left="7082" w:hanging="358"/>
      </w:pPr>
    </w:lvl>
    <w:lvl w:ilvl="8">
      <w:numFmt w:val="bullet"/>
      <w:lvlText w:val="•"/>
      <w:lvlJc w:val="left"/>
      <w:pPr>
        <w:ind w:left="7977" w:hanging="358"/>
      </w:pPr>
    </w:lvl>
  </w:abstractNum>
  <w:abstractNum w:abstractNumId="3" w15:restartNumberingAfterBreak="0">
    <w:nsid w:val="00000405"/>
    <w:multiLevelType w:val="multilevel"/>
    <w:tmpl w:val="00000888"/>
    <w:lvl w:ilvl="0">
      <w:numFmt w:val="bullet"/>
      <w:lvlText w:val="•"/>
      <w:lvlJc w:val="left"/>
      <w:pPr>
        <w:ind w:left="827" w:hanging="428"/>
      </w:pPr>
      <w:rPr>
        <w:rFonts w:ascii="Calibri" w:hAnsi="Calibri"/>
        <w:b w:val="0"/>
        <w:w w:val="100"/>
        <w:sz w:val="22"/>
      </w:rPr>
    </w:lvl>
    <w:lvl w:ilvl="1">
      <w:numFmt w:val="bullet"/>
      <w:lvlText w:val="•"/>
      <w:lvlJc w:val="left"/>
      <w:pPr>
        <w:ind w:left="1714" w:hanging="428"/>
      </w:pPr>
    </w:lvl>
    <w:lvl w:ilvl="2">
      <w:numFmt w:val="bullet"/>
      <w:lvlText w:val="•"/>
      <w:lvlJc w:val="left"/>
      <w:pPr>
        <w:ind w:left="2609" w:hanging="428"/>
      </w:pPr>
    </w:lvl>
    <w:lvl w:ilvl="3">
      <w:numFmt w:val="bullet"/>
      <w:lvlText w:val="•"/>
      <w:lvlJc w:val="left"/>
      <w:pPr>
        <w:ind w:left="3503" w:hanging="428"/>
      </w:pPr>
    </w:lvl>
    <w:lvl w:ilvl="4">
      <w:numFmt w:val="bullet"/>
      <w:lvlText w:val="•"/>
      <w:lvlJc w:val="left"/>
      <w:pPr>
        <w:ind w:left="4398" w:hanging="428"/>
      </w:pPr>
    </w:lvl>
    <w:lvl w:ilvl="5">
      <w:numFmt w:val="bullet"/>
      <w:lvlText w:val="•"/>
      <w:lvlJc w:val="left"/>
      <w:pPr>
        <w:ind w:left="5293" w:hanging="428"/>
      </w:pPr>
    </w:lvl>
    <w:lvl w:ilvl="6">
      <w:numFmt w:val="bullet"/>
      <w:lvlText w:val="•"/>
      <w:lvlJc w:val="left"/>
      <w:pPr>
        <w:ind w:left="6187" w:hanging="428"/>
      </w:pPr>
    </w:lvl>
    <w:lvl w:ilvl="7">
      <w:numFmt w:val="bullet"/>
      <w:lvlText w:val="•"/>
      <w:lvlJc w:val="left"/>
      <w:pPr>
        <w:ind w:left="7082" w:hanging="428"/>
      </w:pPr>
    </w:lvl>
    <w:lvl w:ilvl="8">
      <w:numFmt w:val="bullet"/>
      <w:lvlText w:val="•"/>
      <w:lvlJc w:val="left"/>
      <w:pPr>
        <w:ind w:left="7977" w:hanging="428"/>
      </w:pPr>
    </w:lvl>
  </w:abstractNum>
  <w:abstractNum w:abstractNumId="4" w15:restartNumberingAfterBreak="0">
    <w:nsid w:val="00000406"/>
    <w:multiLevelType w:val="multilevel"/>
    <w:tmpl w:val="00000889"/>
    <w:lvl w:ilvl="0">
      <w:start w:val="1"/>
      <w:numFmt w:val="decimal"/>
      <w:lvlText w:val="%1."/>
      <w:lvlJc w:val="left"/>
      <w:pPr>
        <w:ind w:left="765" w:hanging="360"/>
      </w:pPr>
      <w:rPr>
        <w:rFonts w:cs="Times New Roman"/>
        <w:b w:val="0"/>
        <w:bCs w:val="0"/>
        <w:w w:val="100"/>
      </w:rPr>
    </w:lvl>
    <w:lvl w:ilvl="1">
      <w:numFmt w:val="bullet"/>
      <w:lvlText w:val="•"/>
      <w:lvlJc w:val="left"/>
      <w:pPr>
        <w:ind w:left="1660" w:hanging="360"/>
      </w:pPr>
    </w:lvl>
    <w:lvl w:ilvl="2">
      <w:numFmt w:val="bullet"/>
      <w:lvlText w:val="•"/>
      <w:lvlJc w:val="left"/>
      <w:pPr>
        <w:ind w:left="2561" w:hanging="360"/>
      </w:pPr>
    </w:lvl>
    <w:lvl w:ilvl="3">
      <w:numFmt w:val="bullet"/>
      <w:lvlText w:val="•"/>
      <w:lvlJc w:val="left"/>
      <w:pPr>
        <w:ind w:left="3461" w:hanging="360"/>
      </w:pPr>
    </w:lvl>
    <w:lvl w:ilvl="4">
      <w:numFmt w:val="bullet"/>
      <w:lvlText w:val="•"/>
      <w:lvlJc w:val="left"/>
      <w:pPr>
        <w:ind w:left="4362" w:hanging="360"/>
      </w:pPr>
    </w:lvl>
    <w:lvl w:ilvl="5">
      <w:numFmt w:val="bullet"/>
      <w:lvlText w:val="•"/>
      <w:lvlJc w:val="left"/>
      <w:pPr>
        <w:ind w:left="5263" w:hanging="360"/>
      </w:pPr>
    </w:lvl>
    <w:lvl w:ilvl="6">
      <w:numFmt w:val="bullet"/>
      <w:lvlText w:val="•"/>
      <w:lvlJc w:val="left"/>
      <w:pPr>
        <w:ind w:left="6163" w:hanging="360"/>
      </w:pPr>
    </w:lvl>
    <w:lvl w:ilvl="7">
      <w:numFmt w:val="bullet"/>
      <w:lvlText w:val="•"/>
      <w:lvlJc w:val="left"/>
      <w:pPr>
        <w:ind w:left="7064" w:hanging="360"/>
      </w:pPr>
    </w:lvl>
    <w:lvl w:ilvl="8">
      <w:numFmt w:val="bullet"/>
      <w:lvlText w:val="•"/>
      <w:lvlJc w:val="left"/>
      <w:pPr>
        <w:ind w:left="7965" w:hanging="360"/>
      </w:pPr>
    </w:lvl>
  </w:abstractNum>
  <w:abstractNum w:abstractNumId="5" w15:restartNumberingAfterBreak="0">
    <w:nsid w:val="13D87445"/>
    <w:multiLevelType w:val="hybridMultilevel"/>
    <w:tmpl w:val="BA96A4A6"/>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6" w15:restartNumberingAfterBreak="0">
    <w:nsid w:val="175555F0"/>
    <w:multiLevelType w:val="hybridMultilevel"/>
    <w:tmpl w:val="6BE0CE8C"/>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1C797252"/>
    <w:multiLevelType w:val="hybridMultilevel"/>
    <w:tmpl w:val="00D650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A7575B"/>
    <w:multiLevelType w:val="hybridMultilevel"/>
    <w:tmpl w:val="3280CDA0"/>
    <w:lvl w:ilvl="0" w:tplc="04090019">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1F971327"/>
    <w:multiLevelType w:val="hybridMultilevel"/>
    <w:tmpl w:val="1310CCFC"/>
    <w:lvl w:ilvl="0" w:tplc="0409000F">
      <w:start w:val="5"/>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22776D11"/>
    <w:multiLevelType w:val="hybridMultilevel"/>
    <w:tmpl w:val="38BE2DC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CDE7173"/>
    <w:multiLevelType w:val="hybridMultilevel"/>
    <w:tmpl w:val="0FD8132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2E007928"/>
    <w:multiLevelType w:val="hybridMultilevel"/>
    <w:tmpl w:val="970AE59C"/>
    <w:lvl w:ilvl="0" w:tplc="0409000F">
      <w:start w:val="1"/>
      <w:numFmt w:val="decimal"/>
      <w:lvlText w:val="%1."/>
      <w:lvlJc w:val="left"/>
      <w:pPr>
        <w:ind w:left="720" w:hanging="360"/>
      </w:pPr>
      <w:rPr>
        <w:rFonts w:cs="Times New Roman" w:hint="default"/>
      </w:rPr>
    </w:lvl>
    <w:lvl w:ilvl="1" w:tplc="04090003">
      <w:start w:val="1"/>
      <w:numFmt w:val="bullet"/>
      <w:lvlText w:val="o"/>
      <w:lvlJc w:val="left"/>
      <w:pPr>
        <w:ind w:left="1440" w:hanging="360"/>
      </w:pPr>
      <w:rPr>
        <w:rFonts w:ascii="Courier New" w:hAnsi="Courier New" w:hint="default"/>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307E16FD"/>
    <w:multiLevelType w:val="hybridMultilevel"/>
    <w:tmpl w:val="AA7039C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3A1F7EE0"/>
    <w:multiLevelType w:val="hybridMultilevel"/>
    <w:tmpl w:val="49222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EA5F81"/>
    <w:multiLevelType w:val="hybridMultilevel"/>
    <w:tmpl w:val="E43ECB32"/>
    <w:lvl w:ilvl="0" w:tplc="82B026D4">
      <w:start w:val="1"/>
      <w:numFmt w:val="upperLetter"/>
      <w:lvlText w:val="%1."/>
      <w:lvlJc w:val="left"/>
      <w:pPr>
        <w:ind w:left="630" w:hanging="360"/>
      </w:pPr>
      <w:rPr>
        <w:rFonts w:ascii="Calibri" w:hAnsi="Calibri" w:cs="Calibri" w:hint="default"/>
        <w:b w:val="0"/>
        <w:color w:val="auto"/>
        <w:sz w:val="22"/>
      </w:rPr>
    </w:lvl>
    <w:lvl w:ilvl="1" w:tplc="04090019" w:tentative="1">
      <w:start w:val="1"/>
      <w:numFmt w:val="lowerLetter"/>
      <w:lvlText w:val="%2."/>
      <w:lvlJc w:val="left"/>
      <w:pPr>
        <w:ind w:left="1350" w:hanging="360"/>
      </w:pPr>
      <w:rPr>
        <w:rFonts w:cs="Times New Roman"/>
      </w:rPr>
    </w:lvl>
    <w:lvl w:ilvl="2" w:tplc="0409001B" w:tentative="1">
      <w:start w:val="1"/>
      <w:numFmt w:val="lowerRoman"/>
      <w:lvlText w:val="%3."/>
      <w:lvlJc w:val="right"/>
      <w:pPr>
        <w:ind w:left="2070" w:hanging="180"/>
      </w:pPr>
      <w:rPr>
        <w:rFonts w:cs="Times New Roman"/>
      </w:rPr>
    </w:lvl>
    <w:lvl w:ilvl="3" w:tplc="0409000F" w:tentative="1">
      <w:start w:val="1"/>
      <w:numFmt w:val="decimal"/>
      <w:lvlText w:val="%4."/>
      <w:lvlJc w:val="left"/>
      <w:pPr>
        <w:ind w:left="2790" w:hanging="360"/>
      </w:pPr>
      <w:rPr>
        <w:rFonts w:cs="Times New Roman"/>
      </w:rPr>
    </w:lvl>
    <w:lvl w:ilvl="4" w:tplc="04090019" w:tentative="1">
      <w:start w:val="1"/>
      <w:numFmt w:val="lowerLetter"/>
      <w:lvlText w:val="%5."/>
      <w:lvlJc w:val="left"/>
      <w:pPr>
        <w:ind w:left="3510" w:hanging="360"/>
      </w:pPr>
      <w:rPr>
        <w:rFonts w:cs="Times New Roman"/>
      </w:rPr>
    </w:lvl>
    <w:lvl w:ilvl="5" w:tplc="0409001B" w:tentative="1">
      <w:start w:val="1"/>
      <w:numFmt w:val="lowerRoman"/>
      <w:lvlText w:val="%6."/>
      <w:lvlJc w:val="right"/>
      <w:pPr>
        <w:ind w:left="4230" w:hanging="180"/>
      </w:pPr>
      <w:rPr>
        <w:rFonts w:cs="Times New Roman"/>
      </w:rPr>
    </w:lvl>
    <w:lvl w:ilvl="6" w:tplc="0409000F" w:tentative="1">
      <w:start w:val="1"/>
      <w:numFmt w:val="decimal"/>
      <w:lvlText w:val="%7."/>
      <w:lvlJc w:val="left"/>
      <w:pPr>
        <w:ind w:left="4950" w:hanging="360"/>
      </w:pPr>
      <w:rPr>
        <w:rFonts w:cs="Times New Roman"/>
      </w:rPr>
    </w:lvl>
    <w:lvl w:ilvl="7" w:tplc="04090019" w:tentative="1">
      <w:start w:val="1"/>
      <w:numFmt w:val="lowerLetter"/>
      <w:lvlText w:val="%8."/>
      <w:lvlJc w:val="left"/>
      <w:pPr>
        <w:ind w:left="5670" w:hanging="360"/>
      </w:pPr>
      <w:rPr>
        <w:rFonts w:cs="Times New Roman"/>
      </w:rPr>
    </w:lvl>
    <w:lvl w:ilvl="8" w:tplc="0409001B" w:tentative="1">
      <w:start w:val="1"/>
      <w:numFmt w:val="lowerRoman"/>
      <w:lvlText w:val="%9."/>
      <w:lvlJc w:val="right"/>
      <w:pPr>
        <w:ind w:left="6390" w:hanging="180"/>
      </w:pPr>
      <w:rPr>
        <w:rFonts w:cs="Times New Roman"/>
      </w:rPr>
    </w:lvl>
  </w:abstractNum>
  <w:abstractNum w:abstractNumId="16" w15:restartNumberingAfterBreak="0">
    <w:nsid w:val="47DE489C"/>
    <w:multiLevelType w:val="hybridMultilevel"/>
    <w:tmpl w:val="AFDC31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1AC5D80"/>
    <w:multiLevelType w:val="hybridMultilevel"/>
    <w:tmpl w:val="80A4B2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
  </w:num>
  <w:num w:numId="2">
    <w:abstractNumId w:val="3"/>
  </w:num>
  <w:num w:numId="3">
    <w:abstractNumId w:val="2"/>
  </w:num>
  <w:num w:numId="4">
    <w:abstractNumId w:val="1"/>
  </w:num>
  <w:num w:numId="5">
    <w:abstractNumId w:val="0"/>
  </w:num>
  <w:num w:numId="6">
    <w:abstractNumId w:val="16"/>
  </w:num>
  <w:num w:numId="7">
    <w:abstractNumId w:val="14"/>
  </w:num>
  <w:num w:numId="8">
    <w:abstractNumId w:val="10"/>
  </w:num>
  <w:num w:numId="9">
    <w:abstractNumId w:val="7"/>
  </w:num>
  <w:num w:numId="10">
    <w:abstractNumId w:val="12"/>
  </w:num>
  <w:num w:numId="11">
    <w:abstractNumId w:val="11"/>
  </w:num>
  <w:num w:numId="12">
    <w:abstractNumId w:val="8"/>
  </w:num>
  <w:num w:numId="13">
    <w:abstractNumId w:val="17"/>
  </w:num>
  <w:num w:numId="14">
    <w:abstractNumId w:val="6"/>
  </w:num>
  <w:num w:numId="15">
    <w:abstractNumId w:val="13"/>
  </w:num>
  <w:num w:numId="16">
    <w:abstractNumId w:val="9"/>
  </w:num>
  <w:num w:numId="17">
    <w:abstractNumId w:val="15"/>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6145"/>
  </w:hdrShapeDefaults>
  <w:footnotePr>
    <w:footnote w:id="-1"/>
    <w:footnote w:id="0"/>
  </w:footnotePr>
  <w:endnotePr>
    <w:endnote w:id="-1"/>
    <w:endnote w:id="0"/>
  </w:endnotePr>
  <w:compat>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4D10"/>
    <w:rsid w:val="000D2083"/>
    <w:rsid w:val="00137F02"/>
    <w:rsid w:val="00226C4D"/>
    <w:rsid w:val="00246533"/>
    <w:rsid w:val="002A15D5"/>
    <w:rsid w:val="00421D71"/>
    <w:rsid w:val="004E63B4"/>
    <w:rsid w:val="004F273B"/>
    <w:rsid w:val="0054654D"/>
    <w:rsid w:val="005C4A8B"/>
    <w:rsid w:val="00632A71"/>
    <w:rsid w:val="00656620"/>
    <w:rsid w:val="00813F8C"/>
    <w:rsid w:val="008D7575"/>
    <w:rsid w:val="00906329"/>
    <w:rsid w:val="00A144AB"/>
    <w:rsid w:val="00A86C32"/>
    <w:rsid w:val="00AD191D"/>
    <w:rsid w:val="00AF64D5"/>
    <w:rsid w:val="00BA0D86"/>
    <w:rsid w:val="00BA71A1"/>
    <w:rsid w:val="00D40036"/>
    <w:rsid w:val="00D5626C"/>
    <w:rsid w:val="00D84D10"/>
    <w:rsid w:val="00DF4136"/>
    <w:rsid w:val="00E0567C"/>
    <w:rsid w:val="00E62B57"/>
    <w:rsid w:val="00E83F72"/>
    <w:rsid w:val="00EB714A"/>
    <w:rsid w:val="00ED0A30"/>
    <w:rsid w:val="00F10BD1"/>
    <w:rsid w:val="00FA09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6B5D7BD2"/>
  <w14:defaultImageDpi w14:val="0"/>
  <w15:docId w15:val="{A6350555-9622-4C83-8703-7D34140C9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pPr>
    <w:rPr>
      <w:sz w:val="24"/>
      <w:szCs w:val="24"/>
    </w:rPr>
  </w:style>
  <w:style w:type="paragraph" w:styleId="Heading1">
    <w:name w:val="heading 1"/>
    <w:basedOn w:val="Normal"/>
    <w:next w:val="Normal"/>
    <w:link w:val="Heading1Char"/>
    <w:uiPriority w:val="1"/>
    <w:qFormat/>
    <w:pPr>
      <w:ind w:left="400" w:hanging="284"/>
      <w:outlineLvl w:val="0"/>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Calibri Light" w:hAnsi="Calibri Light"/>
      <w:b/>
      <w:kern w:val="32"/>
      <w:sz w:val="32"/>
    </w:rPr>
  </w:style>
  <w:style w:type="paragraph" w:styleId="BodyText">
    <w:name w:val="Body Text"/>
    <w:basedOn w:val="Normal"/>
    <w:link w:val="BodyTextChar"/>
    <w:uiPriority w:val="1"/>
    <w:qFormat/>
    <w:rPr>
      <w:sz w:val="22"/>
      <w:szCs w:val="22"/>
    </w:rPr>
  </w:style>
  <w:style w:type="character" w:customStyle="1" w:styleId="BodyTextChar">
    <w:name w:val="Body Text Char"/>
    <w:basedOn w:val="DefaultParagraphFont"/>
    <w:link w:val="BodyText"/>
    <w:uiPriority w:val="99"/>
    <w:semiHidden/>
    <w:locked/>
    <w:rPr>
      <w:rFonts w:ascii="Calibri" w:hAnsi="Calibri"/>
      <w:sz w:val="24"/>
    </w:rPr>
  </w:style>
  <w:style w:type="paragraph" w:styleId="ListParagraph">
    <w:name w:val="List Paragraph"/>
    <w:basedOn w:val="Normal"/>
    <w:uiPriority w:val="34"/>
    <w:qFormat/>
    <w:pPr>
      <w:ind w:left="777" w:hanging="360"/>
    </w:pPr>
  </w:style>
  <w:style w:type="paragraph" w:customStyle="1" w:styleId="TableParagraph">
    <w:name w:val="Table Paragraph"/>
    <w:basedOn w:val="Normal"/>
    <w:uiPriority w:val="1"/>
    <w:qFormat/>
    <w:pPr>
      <w:ind w:left="108"/>
    </w:pPr>
  </w:style>
  <w:style w:type="paragraph" w:styleId="Header">
    <w:name w:val="header"/>
    <w:basedOn w:val="Normal"/>
    <w:link w:val="HeaderChar"/>
    <w:uiPriority w:val="99"/>
    <w:unhideWhenUsed/>
    <w:rsid w:val="00F10BD1"/>
    <w:pPr>
      <w:tabs>
        <w:tab w:val="center" w:pos="4680"/>
        <w:tab w:val="right" w:pos="9360"/>
      </w:tabs>
    </w:pPr>
  </w:style>
  <w:style w:type="character" w:customStyle="1" w:styleId="HeaderChar">
    <w:name w:val="Header Char"/>
    <w:basedOn w:val="DefaultParagraphFont"/>
    <w:link w:val="Header"/>
    <w:uiPriority w:val="99"/>
    <w:locked/>
    <w:rsid w:val="00F10BD1"/>
    <w:rPr>
      <w:rFonts w:ascii="Calibri" w:hAnsi="Calibri"/>
      <w:sz w:val="24"/>
    </w:rPr>
  </w:style>
  <w:style w:type="paragraph" w:styleId="Footer">
    <w:name w:val="footer"/>
    <w:basedOn w:val="Normal"/>
    <w:link w:val="FooterChar"/>
    <w:uiPriority w:val="99"/>
    <w:unhideWhenUsed/>
    <w:rsid w:val="00F10BD1"/>
    <w:pPr>
      <w:tabs>
        <w:tab w:val="center" w:pos="4680"/>
        <w:tab w:val="right" w:pos="9360"/>
      </w:tabs>
    </w:pPr>
  </w:style>
  <w:style w:type="character" w:customStyle="1" w:styleId="FooterChar">
    <w:name w:val="Footer Char"/>
    <w:basedOn w:val="DefaultParagraphFont"/>
    <w:link w:val="Footer"/>
    <w:uiPriority w:val="99"/>
    <w:locked/>
    <w:rsid w:val="00F10BD1"/>
    <w:rPr>
      <w:rFonts w:ascii="Calibri" w:hAnsi="Calibri"/>
      <w:sz w:val="24"/>
    </w:rPr>
  </w:style>
  <w:style w:type="character" w:styleId="Hyperlink">
    <w:name w:val="Hyperlink"/>
    <w:basedOn w:val="DefaultParagraphFont"/>
    <w:uiPriority w:val="99"/>
    <w:unhideWhenUsed/>
    <w:rsid w:val="004F273B"/>
    <w:rPr>
      <w:color w:val="0563C1" w:themeColor="hyperlink"/>
      <w:u w:val="single"/>
    </w:rPr>
  </w:style>
  <w:style w:type="character" w:styleId="UnresolvedMention">
    <w:name w:val="Unresolved Mention"/>
    <w:basedOn w:val="DefaultParagraphFont"/>
    <w:uiPriority w:val="99"/>
    <w:semiHidden/>
    <w:unhideWhenUsed/>
    <w:rsid w:val="004F27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it.emory.edu/catalog/data-and-reporting/i2b2.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4</Pages>
  <Words>997</Words>
  <Characters>6020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Version 1.00</dc:creator>
  <cp:keywords/>
  <dc:description/>
  <cp:lastModifiedBy>Coleman, Sherry D.</cp:lastModifiedBy>
  <cp:revision>5</cp:revision>
  <dcterms:created xsi:type="dcterms:W3CDTF">2021-08-23T13:53:00Z</dcterms:created>
  <dcterms:modified xsi:type="dcterms:W3CDTF">2021-11-11T19:35:00Z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Adobe Sign</vt:lpwstr>
  </property>
</Properties>
</file>